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hAnsi="黑体" w:eastAsia="方正小标宋简体"/>
          <w:bCs/>
          <w:color w:val="000000"/>
          <w:sz w:val="52"/>
          <w:szCs w:val="52"/>
          <w:lang w:eastAsia="zh-CN"/>
        </w:rPr>
      </w:pPr>
      <w:r>
        <w:rPr>
          <w:rFonts w:hint="eastAsia" w:ascii="方正小标宋简体" w:eastAsia="方正小标宋简体" w:cs="ArialUnicodeMS"/>
          <w:kern w:val="0"/>
          <w:sz w:val="52"/>
          <w:szCs w:val="52"/>
        </w:rPr>
        <w:t>广西</w:t>
      </w:r>
      <w:r>
        <w:rPr>
          <w:rFonts w:hint="eastAsia" w:ascii="方正小标宋简体" w:eastAsia="方正小标宋简体" w:cs="ArialUnicodeMS"/>
          <w:kern w:val="0"/>
          <w:sz w:val="52"/>
          <w:szCs w:val="52"/>
          <w:lang w:val="en-US" w:eastAsia="zh-CN"/>
        </w:rPr>
        <w:t>交</w:t>
      </w:r>
      <w:r>
        <w:rPr>
          <w:rFonts w:hint="eastAsia" w:ascii="方正小标宋简体" w:hAnsi="黑体" w:eastAsia="方正小标宋简体"/>
          <w:bCs/>
          <w:color w:val="000000"/>
          <w:sz w:val="52"/>
          <w:szCs w:val="52"/>
          <w:u w:val="none"/>
          <w:lang w:val="en-US" w:eastAsia="zh-CN"/>
        </w:rPr>
        <w:t>通</w:t>
      </w:r>
      <w:r>
        <w:rPr>
          <w:rFonts w:hint="eastAsia" w:ascii="方正小标宋简体" w:eastAsia="方正小标宋简体" w:cs="ArialUnicodeMS"/>
          <w:kern w:val="0"/>
          <w:sz w:val="52"/>
          <w:szCs w:val="52"/>
          <w:u w:val="none"/>
          <w:lang w:val="en-US" w:eastAsia="zh-CN"/>
        </w:rPr>
        <w:t>技师学院</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2022</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21"/>
          <w:szCs w:val="21"/>
        </w:rPr>
      </w:pPr>
    </w:p>
    <w:p>
      <w:pPr>
        <w:adjustRightInd w:val="0"/>
        <w:snapToGrid w:val="0"/>
        <w:spacing w:line="50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val="en-US" w:eastAsia="zh-CN"/>
        </w:rPr>
        <w:t>广西交通技师学院</w:t>
      </w:r>
      <w:r>
        <w:rPr>
          <w:rFonts w:hint="eastAsia" w:ascii="黑体" w:hAnsi="黑体" w:eastAsia="黑体"/>
          <w:sz w:val="32"/>
          <w:szCs w:val="32"/>
        </w:rPr>
        <w:t>概况</w:t>
      </w:r>
    </w:p>
    <w:p>
      <w:pPr>
        <w:adjustRightInd w:val="0"/>
        <w:snapToGrid w:val="0"/>
        <w:spacing w:line="50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adjustRightInd w:val="0"/>
        <w:snapToGrid w:val="0"/>
        <w:spacing w:line="500" w:lineRule="exact"/>
        <w:ind w:firstLine="645"/>
        <w:rPr>
          <w:rFonts w:hint="default"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val="en-US" w:eastAsia="zh-CN"/>
        </w:rPr>
        <w:t>部门决算单位构成</w:t>
      </w:r>
    </w:p>
    <w:p>
      <w:pPr>
        <w:adjustRightInd w:val="0"/>
        <w:snapToGrid w:val="0"/>
        <w:spacing w:line="50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val="en-US" w:eastAsia="zh-CN"/>
        </w:rPr>
        <w:t>广西交通技师学院</w:t>
      </w:r>
      <w:r>
        <w:rPr>
          <w:rFonts w:hint="eastAsia" w:ascii="黑体" w:hAnsi="黑体" w:eastAsia="黑体"/>
          <w:sz w:val="32"/>
          <w:szCs w:val="32"/>
        </w:rPr>
        <w:t>2022年度部门决算报表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表二：收入决算表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表三：支出决算表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adjustRightInd w:val="0"/>
        <w:snapToGrid w:val="0"/>
        <w:spacing w:line="50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adjustRightInd w:val="0"/>
        <w:snapToGrid w:val="0"/>
        <w:spacing w:line="50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val="en-US" w:eastAsia="zh-CN"/>
        </w:rPr>
        <w:t>广西交通技师学院</w:t>
      </w:r>
      <w:r>
        <w:rPr>
          <w:rFonts w:hint="eastAsia" w:ascii="黑体" w:hAnsi="黑体" w:eastAsia="黑体"/>
          <w:sz w:val="32"/>
          <w:szCs w:val="32"/>
        </w:rPr>
        <w:t>2022年度部门决算情况说明</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2022</w:t>
      </w:r>
      <w:r>
        <w:rPr>
          <w:rFonts w:hint="eastAsia" w:ascii="仿宋_GB2312" w:eastAsia="仿宋_GB2312" w:cs="仿宋_GB2312"/>
          <w:kern w:val="0"/>
          <w:sz w:val="32"/>
          <w:szCs w:val="32"/>
        </w:rPr>
        <w:t>年度收入支出决算总体情况。</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2022</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三、2022年度一般公共预算财政拨款基本支出决算情况说明。</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2022</w:t>
      </w:r>
      <w:r>
        <w:rPr>
          <w:rFonts w:hint="eastAsia" w:ascii="仿宋_GB2312" w:eastAsia="仿宋_GB2312" w:cs="仿宋_GB2312"/>
          <w:kern w:val="0"/>
          <w:sz w:val="32"/>
          <w:szCs w:val="32"/>
        </w:rPr>
        <w:t>年度政府性基金支出决算情况。</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五、2022年度国有资本经营预算支出决算情况</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napToGrid w:val="0"/>
        <w:spacing w:line="50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ind w:firstLine="646"/>
        <w:jc w:val="center"/>
        <w:rPr>
          <w:rFonts w:hint="eastAsia" w:ascii="黑体" w:hAnsi="黑体" w:eastAsia="黑体"/>
          <w:sz w:val="32"/>
          <w:szCs w:val="32"/>
        </w:rPr>
      </w:pPr>
    </w:p>
    <w:p>
      <w:pPr>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val="en-US" w:eastAsia="zh-CN"/>
        </w:rPr>
        <w:t>广西交通技师学院</w:t>
      </w:r>
      <w:r>
        <w:rPr>
          <w:rFonts w:hint="eastAsia" w:ascii="黑体" w:hAnsi="黑体" w:eastAsia="黑体"/>
          <w:sz w:val="32"/>
          <w:szCs w:val="32"/>
        </w:rPr>
        <w:t>概况</w:t>
      </w:r>
    </w:p>
    <w:p>
      <w:pPr>
        <w:adjustRightInd w:val="0"/>
        <w:snapToGrid w:val="0"/>
        <w:spacing w:line="560" w:lineRule="exact"/>
        <w:ind w:firstLine="646"/>
        <w:rPr>
          <w:rFonts w:hint="eastAsia" w:ascii="黑体" w:hAnsi="黑体" w:eastAsia="黑体"/>
          <w:sz w:val="32"/>
          <w:szCs w:val="32"/>
        </w:rPr>
      </w:pPr>
    </w:p>
    <w:p>
      <w:pPr>
        <w:adjustRightInd w:val="0"/>
        <w:snapToGrid w:val="0"/>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广西交通技师学</w:t>
      </w:r>
      <w:r>
        <w:rPr>
          <w:rFonts w:hint="eastAsia" w:ascii="仿宋_GB2312" w:hAnsi="仿宋" w:eastAsia="仿宋_GB2312"/>
          <w:color w:val="auto"/>
          <w:sz w:val="32"/>
          <w:szCs w:val="32"/>
          <w:highlight w:val="none"/>
        </w:rPr>
        <w:t>院是交通运输厅管理的全日制普通中等职业学校，全额预算拨款事业单位。根据《中华人民共和国职业教育法》的有关规定，开展中等职业学历教育和职业培训活动。公路工程综合乙等试验检测。</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二、部门决算单位构成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60" w:lineRule="exact"/>
        <w:ind w:left="0" w:right="0" w:firstLine="48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纳入2022年部门决算编制范围的独立核算单位共1个，为广西交通技师学院。</w:t>
      </w:r>
    </w:p>
    <w:p>
      <w:pPr>
        <w:adjustRightInd w:val="0"/>
        <w:snapToGrid w:val="0"/>
        <w:spacing w:line="560" w:lineRule="exact"/>
        <w:ind w:firstLine="640" w:firstLineChars="200"/>
        <w:rPr>
          <w:rFonts w:hint="eastAsia" w:ascii="仿宋_GB2312" w:hAnsi="仿宋" w:eastAsia="仿宋_GB2312"/>
          <w:color w:val="auto"/>
          <w:sz w:val="32"/>
          <w:szCs w:val="32"/>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adjustRightInd w:val="0"/>
        <w:snapToGrid w:val="0"/>
        <w:spacing w:line="560" w:lineRule="exact"/>
        <w:jc w:val="center"/>
        <w:rPr>
          <w:rFonts w:hint="eastAsia" w:ascii="黑体" w:hAnsi="黑体" w:eastAsia="黑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广西交通技师学院</w:t>
      </w:r>
      <w:r>
        <w:rPr>
          <w:rFonts w:hint="eastAsia" w:ascii="黑体" w:hAnsi="黑体" w:eastAsia="黑体"/>
          <w:sz w:val="32"/>
          <w:szCs w:val="32"/>
        </w:rPr>
        <w:t>2022年度部门决算报表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表一：</w:t>
      </w:r>
      <w:r>
        <w:rPr>
          <w:rFonts w:hint="eastAsia" w:ascii="仿宋_GB2312" w:hAnsi="黑体" w:eastAsia="仿宋_GB2312"/>
          <w:sz w:val="32"/>
          <w:szCs w:val="32"/>
        </w:rPr>
        <w:t>《收入支出决算表》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表二：</w:t>
      </w:r>
      <w:r>
        <w:rPr>
          <w:rFonts w:hint="eastAsia" w:ascii="仿宋_GB2312" w:hAnsi="黑体" w:eastAsia="仿宋_GB2312"/>
          <w:sz w:val="32"/>
          <w:szCs w:val="32"/>
        </w:rPr>
        <w:t>《收入决算表》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表三：</w:t>
      </w:r>
      <w:r>
        <w:rPr>
          <w:rFonts w:hint="eastAsia" w:ascii="仿宋_GB2312" w:hAnsi="黑体" w:eastAsia="仿宋_GB2312"/>
          <w:sz w:val="32"/>
          <w:szCs w:val="32"/>
        </w:rPr>
        <w:t>《支出决算表》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表四：</w:t>
      </w:r>
      <w:r>
        <w:rPr>
          <w:rFonts w:hint="eastAsia" w:ascii="仿宋_GB2312" w:hAnsi="黑体" w:eastAsia="仿宋_GB2312"/>
          <w:sz w:val="32"/>
          <w:szCs w:val="32"/>
        </w:rPr>
        <w:t>《财政拨款收入支出决算表》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表五：</w:t>
      </w:r>
      <w:r>
        <w:rPr>
          <w:rFonts w:hint="eastAsia" w:ascii="仿宋_GB2312" w:hAnsi="黑体" w:eastAsia="仿宋_GB2312"/>
          <w:sz w:val="32"/>
          <w:szCs w:val="32"/>
        </w:rPr>
        <w:t>《一般公共预算财政拨款收入支出决算表》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表六：</w:t>
      </w:r>
      <w:r>
        <w:rPr>
          <w:rFonts w:hint="eastAsia" w:ascii="仿宋_GB2312" w:hAnsi="黑体" w:eastAsia="仿宋_GB2312"/>
          <w:sz w:val="32"/>
          <w:szCs w:val="32"/>
        </w:rPr>
        <w:t>《一般公共预算财政拨款基本支出决算明细表》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表七：</w:t>
      </w:r>
      <w:r>
        <w:rPr>
          <w:rFonts w:hint="eastAsia" w:ascii="仿宋_GB2312" w:hAnsi="黑体" w:eastAsia="仿宋_GB2312"/>
          <w:sz w:val="32"/>
          <w:szCs w:val="32"/>
        </w:rPr>
        <w:t>《政府性基金预算财政拨款收入支出决算表》</w:t>
      </w:r>
    </w:p>
    <w:p>
      <w:pPr>
        <w:adjustRightInd w:val="0"/>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表八：</w:t>
      </w:r>
      <w:r>
        <w:rPr>
          <w:rFonts w:hint="eastAsia" w:ascii="仿宋_GB2312" w:hAnsi="黑体" w:eastAsia="仿宋_GB2312"/>
          <w:sz w:val="32"/>
          <w:szCs w:val="32"/>
        </w:rPr>
        <w:t>《国有资本经营预算财政拨款收入支出决算表》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表九：</w:t>
      </w:r>
      <w:r>
        <w:rPr>
          <w:rFonts w:hint="eastAsia" w:ascii="仿宋_GB2312" w:hAnsi="仿宋_GB2312" w:eastAsia="仿宋_GB2312" w:cs="仿宋_GB2312"/>
          <w:sz w:val="32"/>
          <w:szCs w:val="32"/>
        </w:rPr>
        <w:t>《财政拨款“三公”经费支出</w:t>
      </w:r>
      <w:r>
        <w:rPr>
          <w:rFonts w:hint="eastAsia" w:ascii="仿宋_GB2312" w:hAnsi="仿宋_GB2312" w:eastAsia="仿宋_GB2312" w:cs="仿宋_GB2312"/>
          <w:sz w:val="32"/>
          <w:szCs w:val="32"/>
          <w:lang w:val="en-US" w:eastAsia="zh-CN"/>
        </w:rPr>
        <w:t>决算</w:t>
      </w:r>
      <w:r>
        <w:rPr>
          <w:rFonts w:hint="eastAsia" w:ascii="仿宋_GB2312" w:hAnsi="仿宋_GB2312" w:eastAsia="仿宋_GB2312" w:cs="仿宋_GB2312"/>
          <w:sz w:val="32"/>
          <w:szCs w:val="32"/>
        </w:rPr>
        <w:t>表》</w:t>
      </w:r>
    </w:p>
    <w:p>
      <w:pPr>
        <w:adjustRightInd w:val="0"/>
        <w:snapToGrid w:val="0"/>
        <w:spacing w:line="560" w:lineRule="exact"/>
        <w:ind w:firstLine="640"/>
        <w:rPr>
          <w:rFonts w:hint="eastAsia" w:ascii="黑体" w:hAnsi="黑体" w:eastAsia="黑体"/>
          <w:sz w:val="32"/>
          <w:szCs w:val="32"/>
        </w:rPr>
      </w:pPr>
      <w:r>
        <w:rPr>
          <w:rFonts w:hint="eastAsia" w:ascii="黑体" w:hAnsi="黑体" w:eastAsia="黑体"/>
          <w:sz w:val="32"/>
          <w:szCs w:val="32"/>
        </w:rPr>
        <w:t>(详见附件：</w:t>
      </w:r>
      <w:r>
        <w:rPr>
          <w:rFonts w:hint="eastAsia" w:ascii="黑体" w:hAnsi="黑体" w:eastAsia="黑体"/>
          <w:sz w:val="32"/>
          <w:szCs w:val="32"/>
          <w:lang w:val="en-US" w:eastAsia="zh-CN"/>
        </w:rPr>
        <w:t>广西交通技师学院</w:t>
      </w:r>
      <w:r>
        <w:rPr>
          <w:rFonts w:hint="eastAsia" w:ascii="黑体" w:hAnsi="黑体" w:eastAsia="黑体"/>
          <w:sz w:val="32"/>
          <w:szCs w:val="32"/>
        </w:rPr>
        <w:t>2022年度部门决算公开</w:t>
      </w:r>
      <w:r>
        <w:rPr>
          <w:rFonts w:hint="eastAsia" w:ascii="黑体" w:hAnsi="黑体" w:eastAsia="黑体"/>
          <w:sz w:val="32"/>
          <w:szCs w:val="32"/>
          <w:lang w:val="en-US" w:eastAsia="zh-CN"/>
        </w:rPr>
        <w:t>报</w:t>
      </w:r>
      <w:r>
        <w:rPr>
          <w:rFonts w:hint="eastAsia" w:ascii="黑体" w:hAnsi="黑体" w:eastAsia="黑体"/>
          <w:sz w:val="32"/>
          <w:szCs w:val="32"/>
        </w:rPr>
        <w:t>表)</w:t>
      </w:r>
    </w:p>
    <w:p>
      <w:pPr>
        <w:adjustRightInd w:val="0"/>
        <w:snapToGrid w:val="0"/>
        <w:spacing w:line="560" w:lineRule="exact"/>
        <w:ind w:firstLine="640"/>
        <w:rPr>
          <w:rFonts w:hint="eastAsia" w:ascii="黑体" w:hAnsi="黑体" w:eastAsia="黑体"/>
          <w:sz w:val="32"/>
          <w:szCs w:val="32"/>
        </w:rPr>
      </w:pPr>
    </w:p>
    <w:p>
      <w:pPr>
        <w:adjustRightInd w:val="0"/>
        <w:snapToGrid w:val="0"/>
        <w:spacing w:line="560" w:lineRule="exact"/>
        <w:ind w:firstLine="640"/>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val="en-US" w:eastAsia="zh-CN"/>
        </w:rPr>
        <w:t>广西交通技师学院</w:t>
      </w:r>
      <w:r>
        <w:rPr>
          <w:rFonts w:hint="eastAsia" w:ascii="黑体" w:hAnsi="黑体" w:eastAsia="黑体"/>
          <w:sz w:val="32"/>
          <w:szCs w:val="32"/>
        </w:rPr>
        <w:t>2022年度部门决算情况说明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2022</w:t>
      </w:r>
      <w:r>
        <w:rPr>
          <w:rFonts w:hint="eastAsia" w:ascii="黑体" w:hAnsi="黑体" w:eastAsia="黑体" w:cs="仿宋_GB2312"/>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2022年度总收入14</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672.31万元，其中本年收入13</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292.46万元,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年度决算数减少8</w:t>
      </w:r>
      <w:r>
        <w:rPr>
          <w:rFonts w:hint="eastAsia" w:ascii="仿宋_GB2312" w:eastAsia="仿宋_GB2312" w:cs="仿宋_GB2312"/>
          <w:kern w:val="0"/>
          <w:sz w:val="32"/>
          <w:szCs w:val="32"/>
          <w:lang w:val="en-US" w:eastAsia="zh-CN"/>
        </w:rPr>
        <w:t>,</w:t>
      </w:r>
      <w:r>
        <w:rPr>
          <w:rFonts w:hint="eastAsia" w:ascii="仿宋_GB2312" w:hAnsi="黑体" w:eastAsia="仿宋_GB2312" w:cs="仿宋_GB2312"/>
          <w:kern w:val="0"/>
          <w:sz w:val="32"/>
          <w:szCs w:val="32"/>
        </w:rPr>
        <w:t>374.37万元，下降36.34%。</w:t>
      </w:r>
      <w:r>
        <w:rPr>
          <w:rFonts w:hint="eastAsia" w:ascii="仿宋_GB2312" w:eastAsia="仿宋_GB2312" w:cs="仿宋_GB2312"/>
          <w:kern w:val="0"/>
          <w:sz w:val="32"/>
          <w:szCs w:val="32"/>
        </w:rPr>
        <w:t>收入具体情况如下。</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.一般公共预算财政拨款收入11,758.95万元，为自治区本级财政当年拨付的资金。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年度决算数增加2</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146.22万元，增长22.33%，</w:t>
      </w:r>
      <w:r>
        <w:rPr>
          <w:rFonts w:hint="eastAsia" w:ascii="仿宋_GB2312" w:hAnsi="黑体" w:eastAsia="仿宋_GB2312" w:cs="仿宋_GB2312"/>
          <w:kern w:val="0"/>
          <w:sz w:val="32"/>
          <w:szCs w:val="32"/>
          <w:highlight w:val="none"/>
        </w:rPr>
        <w:t>主要原因是</w:t>
      </w:r>
      <w:r>
        <w:rPr>
          <w:rFonts w:hint="eastAsia" w:ascii="仿宋_GB2312" w:hAnsi="仿宋" w:eastAsia="仿宋_GB2312"/>
          <w:color w:val="auto"/>
          <w:sz w:val="32"/>
          <w:szCs w:val="32"/>
          <w:highlight w:val="none"/>
        </w:rPr>
        <w:t>2022年增加以下项目：伊岭校区校园智慧管理服务、校区智能安全用电工程、现代职业教育发展专项资金、新专业建设等</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4.事业收入778.28万元，为事业单位开展业务活动取得的收入。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年度决算数减少652.88万元，下降</w:t>
      </w:r>
      <w:r>
        <w:rPr>
          <w:rFonts w:hint="eastAsia" w:ascii="仿宋_GB2312" w:hAnsi="黑体" w:eastAsia="仿宋_GB2312" w:cs="仿宋_GB2312"/>
          <w:kern w:val="0"/>
          <w:sz w:val="32"/>
          <w:szCs w:val="32"/>
          <w:lang w:val="en-US" w:eastAsia="zh-CN"/>
        </w:rPr>
        <w:t>45.62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 w:hAnsi="仿宋" w:eastAsia="仿宋" w:cs="仿宋"/>
          <w:color w:val="auto"/>
          <w:sz w:val="32"/>
          <w:szCs w:val="32"/>
          <w:highlight w:val="none"/>
        </w:rPr>
        <w:t>2022年在校生人数减少，事业收入相</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rPr>
        <w:t>减少</w:t>
      </w:r>
      <w:r>
        <w:rPr>
          <w:rFonts w:hint="eastAsia" w:asci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val="en-US"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.其他收入755.23万元，为预算单位在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jc w:val="both"/>
        <w:textAlignment w:val="auto"/>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年度决算数减少250.79万元，下降</w:t>
      </w:r>
      <w:r>
        <w:rPr>
          <w:rFonts w:hint="eastAsia" w:ascii="仿宋_GB2312" w:hAnsi="黑体" w:eastAsia="仿宋_GB2312" w:cs="仿宋_GB2312"/>
          <w:kern w:val="0"/>
          <w:sz w:val="32"/>
          <w:szCs w:val="32"/>
          <w:lang w:val="en-US" w:eastAsia="zh-CN"/>
        </w:rPr>
        <w:t>24.93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_GB2312" w:hAnsi="仿宋" w:eastAsia="仿宋_GB2312"/>
          <w:color w:val="auto"/>
          <w:sz w:val="32"/>
          <w:szCs w:val="32"/>
          <w:highlight w:val="none"/>
          <w:lang w:val="en-US" w:eastAsia="zh-CN"/>
        </w:rPr>
        <w:t>2022年</w:t>
      </w:r>
      <w:r>
        <w:rPr>
          <w:rFonts w:hint="eastAsia" w:ascii="仿宋_GB2312" w:hAnsi="仿宋" w:eastAsia="仿宋_GB2312"/>
          <w:color w:val="auto"/>
          <w:sz w:val="32"/>
          <w:szCs w:val="32"/>
          <w:highlight w:val="none"/>
        </w:rPr>
        <w:t>利息收入、固定资产出租收入及企业上缴利润减少</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.使用非财政拨款结余1</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373.85万元，主要是使用以前年度积累的非财政拨款结余</w:t>
      </w:r>
      <w:r>
        <w:rPr>
          <w:rFonts w:hint="eastAsia" w:ascii="仿宋_GB2312" w:eastAsia="仿宋_GB2312" w:cs="仿宋_GB2312"/>
          <w:kern w:val="0"/>
          <w:sz w:val="32"/>
          <w:szCs w:val="32"/>
          <w:lang w:val="en-US" w:eastAsia="zh-CN"/>
        </w:rPr>
        <w:t>支付上年度应付款项，以及</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rPr>
        <w:t>1,373.85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2021年度无非财政拨款结余</w:t>
      </w:r>
      <w:r>
        <w:rPr>
          <w:rFonts w:hint="eastAsia" w:ascii="仿宋_GB2312" w:hAnsi="黑体"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lang w:eastAsia="zh-CN"/>
        </w:rPr>
      </w:pPr>
      <w:r>
        <w:rPr>
          <w:rFonts w:hint="eastAsia" w:ascii="仿宋_GB2312" w:eastAsia="仿宋_GB2312"/>
          <w:bCs/>
          <w:kern w:val="0"/>
          <w:sz w:val="32"/>
          <w:szCs w:val="32"/>
          <w:highlight w:val="none"/>
        </w:rPr>
        <w:t>8</w:t>
      </w:r>
      <w:r>
        <w:rPr>
          <w:rFonts w:hint="eastAsia" w:ascii="仿宋_GB2312" w:eastAsia="仿宋_GB2312" w:cs="仿宋_GB2312"/>
          <w:kern w:val="0"/>
          <w:sz w:val="32"/>
          <w:szCs w:val="32"/>
          <w:highlight w:val="none"/>
        </w:rPr>
        <w:t>.上年结转和结余</w:t>
      </w:r>
      <w:r>
        <w:rPr>
          <w:rFonts w:hint="eastAsia" w:ascii="仿宋_GB2312" w:eastAsia="仿宋_GB2312"/>
          <w:kern w:val="0"/>
          <w:sz w:val="32"/>
          <w:szCs w:val="32"/>
          <w:highlight w:val="none"/>
          <w:lang w:val="en-US" w:eastAsia="zh-CN"/>
        </w:rPr>
        <w:t>6</w:t>
      </w:r>
      <w:r>
        <w:rPr>
          <w:rFonts w:hint="eastAsia" w:ascii="仿宋_GB2312" w:eastAsia="仿宋_GB2312" w:cs="仿宋_GB2312"/>
          <w:kern w:val="0"/>
          <w:sz w:val="32"/>
          <w:szCs w:val="32"/>
          <w:highlight w:val="none"/>
        </w:rPr>
        <w:t>万元，</w:t>
      </w:r>
      <w:r>
        <w:rPr>
          <w:rFonts w:hint="eastAsia" w:ascii="仿宋_GB2312" w:hAnsi="黑体" w:eastAsia="仿宋_GB2312" w:cs="仿宋_GB2312"/>
          <w:kern w:val="0"/>
          <w:sz w:val="32"/>
          <w:szCs w:val="32"/>
          <w:highlight w:val="none"/>
        </w:rPr>
        <w:t>为以前年度支出预算因客观条件变化未执行完毕、结转到本年度按有关规定继续使用的资金。较</w:t>
      </w:r>
      <w:r>
        <w:rPr>
          <w:rFonts w:hint="eastAsia" w:ascii="仿宋_GB2312" w:hAnsi="黑体" w:eastAsia="仿宋_GB2312" w:cs="仿宋_GB2312"/>
          <w:kern w:val="0"/>
          <w:sz w:val="32"/>
          <w:szCs w:val="32"/>
          <w:highlight w:val="none"/>
          <w:lang w:eastAsia="zh-CN"/>
        </w:rPr>
        <w:t>2021</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减少8868.24</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下降99.93</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主要原因</w:t>
      </w:r>
      <w:r>
        <w:rPr>
          <w:rFonts w:hint="eastAsia" w:ascii="仿宋_GB2312" w:hAnsi="黑体" w:eastAsia="仿宋_GB2312" w:cs="仿宋_GB2312"/>
          <w:kern w:val="0"/>
          <w:sz w:val="32"/>
          <w:szCs w:val="32"/>
          <w:highlight w:val="none"/>
          <w:lang w:val="en-US" w:eastAsia="zh-CN"/>
        </w:rPr>
        <w:t>是2021年存在未完工的跨年度项目（</w:t>
      </w:r>
      <w:r>
        <w:rPr>
          <w:rFonts w:hint="eastAsia" w:ascii="仿宋_GB2312" w:hAnsi="Times New Roman" w:eastAsia="仿宋_GB2312" w:cs="仿宋_GB2312"/>
          <w:kern w:val="0"/>
          <w:sz w:val="32"/>
          <w:szCs w:val="32"/>
          <w:highlight w:val="none"/>
          <w:lang w:val="en-US" w:eastAsia="zh-CN" w:bidi="ar-SA"/>
        </w:rPr>
        <w:t>伊岭校区各项附属设施工程）</w:t>
      </w:r>
      <w:r>
        <w:rPr>
          <w:rFonts w:hint="eastAsia" w:ascii="仿宋_GB2312" w:hAnsi="仿宋" w:eastAsia="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2022年度总支出14,672.31万元，其中本年支出14</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666.31万元,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年度决算数减少8</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374.37万元，下降</w:t>
      </w:r>
      <w:r>
        <w:rPr>
          <w:rFonts w:hint="eastAsia" w:ascii="仿宋_GB2312" w:hAnsi="黑体" w:eastAsia="仿宋_GB2312" w:cs="仿宋_GB2312"/>
          <w:kern w:val="0"/>
          <w:sz w:val="32"/>
          <w:szCs w:val="32"/>
          <w:lang w:val="en-US" w:eastAsia="zh-CN"/>
        </w:rPr>
        <w:t>36.34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教育</w:t>
      </w:r>
      <w:r>
        <w:rPr>
          <w:rFonts w:hint="eastAsia" w:ascii="仿宋_GB2312" w:eastAsia="仿宋_GB2312" w:cs="仿宋_GB2312"/>
          <w:kern w:val="0"/>
          <w:sz w:val="32"/>
          <w:szCs w:val="32"/>
        </w:rPr>
        <w:t>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类</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13,802.34万元：</w:t>
      </w:r>
      <w:r>
        <w:rPr>
          <w:rFonts w:hint="eastAsia" w:ascii="仿宋_GB2312" w:eastAsia="仿宋_GB2312" w:cs="仿宋_GB2312"/>
          <w:kern w:val="0"/>
          <w:sz w:val="32"/>
          <w:szCs w:val="32"/>
          <w:highlight w:val="none"/>
        </w:rPr>
        <w:t>主要用于</w:t>
      </w:r>
      <w:r>
        <w:rPr>
          <w:rFonts w:hint="eastAsia" w:ascii="仿宋_GB2312" w:hAnsi="Times New Roman" w:eastAsia="仿宋_GB2312" w:cs="仿宋_GB2312"/>
          <w:kern w:val="0"/>
          <w:sz w:val="32"/>
          <w:szCs w:val="32"/>
          <w:highlight w:val="none"/>
          <w:lang w:val="en-US" w:eastAsia="zh-CN" w:bidi="ar-SA"/>
        </w:rPr>
        <w:t>学院教育事务支出。</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2021</w:t>
      </w:r>
      <w:r>
        <w:rPr>
          <w:rFonts w:hint="eastAsia" w:ascii="仿宋_GB2312" w:hAnsi="黑体" w:eastAsia="仿宋_GB2312" w:cs="仿宋_GB2312"/>
          <w:kern w:val="0"/>
          <w:sz w:val="32"/>
          <w:szCs w:val="32"/>
          <w:highlight w:val="none"/>
        </w:rPr>
        <w:t>年度决算数减少</w:t>
      </w:r>
      <w:r>
        <w:rPr>
          <w:rFonts w:hint="eastAsia" w:ascii="仿宋_GB2312" w:hAnsi="黑体" w:eastAsia="仿宋_GB2312" w:cs="仿宋_GB2312"/>
          <w:kern w:val="0"/>
          <w:sz w:val="32"/>
          <w:szCs w:val="32"/>
          <w:highlight w:val="none"/>
          <w:lang w:val="en-US" w:eastAsia="zh-CN"/>
        </w:rPr>
        <w:t>7,078.00</w:t>
      </w:r>
      <w:r>
        <w:rPr>
          <w:rFonts w:hint="eastAsia" w:ascii="仿宋_GB2312" w:hAnsi="黑体" w:eastAsia="仿宋_GB2312" w:cs="仿宋_GB2312"/>
          <w:kern w:val="0"/>
          <w:sz w:val="32"/>
          <w:szCs w:val="32"/>
          <w:highlight w:val="none"/>
        </w:rPr>
        <w:t>万元，下降</w:t>
      </w:r>
      <w:r>
        <w:rPr>
          <w:rFonts w:hint="eastAsia" w:ascii="仿宋_GB2312" w:hAnsi="黑体" w:eastAsia="仿宋_GB2312" w:cs="仿宋_GB2312"/>
          <w:kern w:val="0"/>
          <w:sz w:val="32"/>
          <w:szCs w:val="32"/>
          <w:highlight w:val="none"/>
          <w:lang w:val="en-US" w:eastAsia="zh-CN"/>
        </w:rPr>
        <w:t>33.90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val="en-US" w:eastAsia="zh-CN"/>
        </w:rPr>
        <w:t>在校生减少，教育支出相应减少</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2.社会保障和就业支出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类</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647.68</w:t>
      </w:r>
      <w:r>
        <w:rPr>
          <w:rFonts w:hint="eastAsia" w:ascii="仿宋_GB2312" w:eastAsia="仿宋_GB2312" w:cs="仿宋_GB2312"/>
          <w:kern w:val="0"/>
          <w:sz w:val="32"/>
          <w:szCs w:val="32"/>
          <w:lang w:val="en-US" w:eastAsia="zh-CN"/>
        </w:rPr>
        <w:t>万元：</w:t>
      </w:r>
      <w:r>
        <w:rPr>
          <w:rFonts w:hint="eastAsia" w:ascii="仿宋_GB2312" w:eastAsia="仿宋_GB2312" w:cs="仿宋_GB2312"/>
          <w:kern w:val="0"/>
          <w:sz w:val="32"/>
          <w:szCs w:val="32"/>
        </w:rPr>
        <w:t>主要用于</w:t>
      </w:r>
      <w:r>
        <w:rPr>
          <w:rFonts w:hint="eastAsia" w:ascii="仿宋_GB2312" w:hAnsi="Times New Roman" w:eastAsia="仿宋_GB2312" w:cs="仿宋_GB2312"/>
          <w:kern w:val="0"/>
          <w:sz w:val="32"/>
          <w:szCs w:val="32"/>
          <w:highlight w:val="none"/>
          <w:lang w:val="en-US" w:eastAsia="zh-CN" w:bidi="ar-SA"/>
        </w:rPr>
        <w:t>反映政府在社会保障与就业方面的支出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增加219.87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增长51.39</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_GB2312" w:hAnsi="仿宋" w:eastAsia="仿宋_GB2312" w:cs="仿宋"/>
          <w:bCs/>
          <w:color w:val="auto"/>
          <w:sz w:val="32"/>
          <w:szCs w:val="32"/>
          <w:highlight w:val="none"/>
        </w:rPr>
        <w:t>年中追加自治区本级机关事业单位养老保险改革实施准备期清算结算资金。</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yellow"/>
        </w:rPr>
      </w:pPr>
      <w:r>
        <w:rPr>
          <w:rFonts w:hint="eastAsia" w:ascii="仿宋_GB2312" w:eastAsia="仿宋_GB2312" w:cs="仿宋_GB2312"/>
          <w:kern w:val="0"/>
          <w:sz w:val="32"/>
          <w:szCs w:val="32"/>
          <w:lang w:val="en-US" w:eastAsia="zh-CN"/>
        </w:rPr>
        <w:t>3.卫生健康支出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类</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82.60</w:t>
      </w:r>
      <w:r>
        <w:rPr>
          <w:rFonts w:hint="eastAsia" w:ascii="仿宋_GB2312" w:eastAsia="仿宋_GB2312" w:cs="仿宋_GB2312"/>
          <w:kern w:val="0"/>
          <w:sz w:val="32"/>
          <w:szCs w:val="32"/>
          <w:lang w:val="en-US" w:eastAsia="zh-CN"/>
        </w:rPr>
        <w:t>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职工医疗保险、失业缴费。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增加2.99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增长3.76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_GB2312" w:hAnsi="Times New Roman" w:eastAsia="仿宋_GB2312" w:cs="仿宋_GB2312"/>
          <w:kern w:val="0"/>
          <w:sz w:val="32"/>
          <w:szCs w:val="32"/>
          <w:lang w:val="en-US" w:eastAsia="zh-CN" w:bidi="ar-SA"/>
        </w:rPr>
        <w:t>行政事业单位医疗保险经费支出增加</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lang w:val="en-US" w:eastAsia="zh-CN"/>
        </w:rPr>
        <w:t>4.住房保障支出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类</w:t>
      </w:r>
      <w:r>
        <w:rPr>
          <w:rFonts w:hint="eastAsia" w:ascii="仿宋_GB2312" w:eastAsia="仿宋_GB2312" w:cs="仿宋_GB2312"/>
          <w:kern w:val="0"/>
          <w:sz w:val="32"/>
          <w:szCs w:val="32"/>
          <w:lang w:eastAsia="zh-CN"/>
        </w:rPr>
        <w:t>）</w:t>
      </w:r>
      <w:r>
        <w:rPr>
          <w:rFonts w:hint="eastAsia" w:ascii="仿宋_GB2312" w:eastAsia="仿宋_GB2312"/>
          <w:bCs/>
          <w:kern w:val="0"/>
          <w:sz w:val="32"/>
          <w:szCs w:val="32"/>
        </w:rPr>
        <w:t>133.69</w:t>
      </w:r>
      <w:r>
        <w:rPr>
          <w:rFonts w:hint="eastAsia" w:ascii="仿宋_GB2312" w:eastAsia="仿宋_GB2312"/>
          <w:bCs/>
          <w:kern w:val="0"/>
          <w:sz w:val="32"/>
          <w:szCs w:val="32"/>
          <w:lang w:val="en-US" w:eastAsia="zh-CN"/>
        </w:rPr>
        <w:t>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按规定缴交职工住房公积金。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增加4.59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增长3.56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_GB2312" w:hAnsi="Times New Roman" w:eastAsia="仿宋_GB2312" w:cs="仿宋_GB2312"/>
          <w:kern w:val="0"/>
          <w:sz w:val="32"/>
          <w:szCs w:val="32"/>
          <w:lang w:val="en-US" w:eastAsia="zh-CN" w:bidi="ar-SA"/>
        </w:rPr>
        <w:t>行政事业单位</w:t>
      </w:r>
      <w:r>
        <w:rPr>
          <w:rFonts w:hint="eastAsia" w:ascii="仿宋_GB2312" w:eastAsia="仿宋_GB2312" w:cs="仿宋_GB2312"/>
          <w:kern w:val="0"/>
          <w:sz w:val="32"/>
          <w:szCs w:val="32"/>
          <w:lang w:val="en-US" w:eastAsia="zh-CN" w:bidi="ar-SA"/>
        </w:rPr>
        <w:t>住房公积金</w:t>
      </w:r>
      <w:r>
        <w:rPr>
          <w:rFonts w:hint="eastAsia" w:ascii="仿宋_GB2312" w:hAnsi="Times New Roman" w:eastAsia="仿宋_GB2312" w:cs="仿宋_GB2312"/>
          <w:kern w:val="0"/>
          <w:sz w:val="32"/>
          <w:szCs w:val="32"/>
          <w:lang w:val="en-US" w:eastAsia="zh-CN" w:bidi="ar-SA"/>
        </w:rPr>
        <w:t>支出增加</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年度决算数减</w:t>
      </w:r>
      <w:r>
        <w:rPr>
          <w:rFonts w:hint="eastAsia" w:ascii="仿宋_GB2312" w:hAnsi="黑体" w:eastAsia="仿宋_GB2312" w:cs="仿宋_GB2312"/>
          <w:kern w:val="0"/>
          <w:sz w:val="32"/>
          <w:szCs w:val="32"/>
          <w:lang w:val="en-US" w:eastAsia="zh-CN"/>
        </w:rPr>
        <w:t>少</w:t>
      </w:r>
      <w:r>
        <w:rPr>
          <w:rFonts w:hint="eastAsia" w:ascii="仿宋_GB2312" w:hAnsi="黑体" w:eastAsia="仿宋_GB2312" w:cs="仿宋_GB2312"/>
          <w:kern w:val="0"/>
          <w:sz w:val="32"/>
          <w:szCs w:val="32"/>
        </w:rPr>
        <w:t>1,529.82万元，下降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val="en-US" w:eastAsia="zh-CN"/>
        </w:rPr>
        <w:t>本年度无结余分配</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yellow"/>
        </w:rPr>
      </w:pPr>
      <w:r>
        <w:rPr>
          <w:rFonts w:hint="eastAsia" w:ascii="仿宋_GB2312" w:eastAsia="仿宋_GB2312"/>
          <w:bCs/>
          <w:kern w:val="0"/>
          <w:sz w:val="32"/>
          <w:szCs w:val="32"/>
          <w:highlight w:val="none"/>
          <w:lang w:val="en-US" w:eastAsia="zh-CN"/>
        </w:rPr>
        <w:t>6</w:t>
      </w:r>
      <w:r>
        <w:rPr>
          <w:rFonts w:hint="eastAsia" w:ascii="仿宋_GB2312" w:eastAsia="仿宋_GB2312" w:cs="仿宋_GB2312"/>
          <w:kern w:val="0"/>
          <w:sz w:val="32"/>
          <w:szCs w:val="32"/>
          <w:highlight w:val="none"/>
        </w:rPr>
        <w:t>.</w:t>
      </w:r>
      <w:r>
        <w:rPr>
          <w:rFonts w:hint="eastAsia" w:ascii="仿宋_GB2312" w:hAnsi="黑体" w:eastAsia="仿宋_GB2312" w:cs="仿宋_GB2312"/>
          <w:kern w:val="0"/>
          <w:sz w:val="32"/>
          <w:szCs w:val="32"/>
          <w:highlight w:val="none"/>
        </w:rPr>
        <w:t>年</w:t>
      </w:r>
      <w:r>
        <w:rPr>
          <w:rFonts w:hint="eastAsia" w:ascii="仿宋_GB2312" w:hAnsi="黑体" w:eastAsia="仿宋_GB2312" w:cs="仿宋_GB2312"/>
          <w:kern w:val="0"/>
          <w:sz w:val="32"/>
          <w:szCs w:val="32"/>
          <w:highlight w:val="none"/>
          <w:lang w:val="en-US" w:eastAsia="zh-CN"/>
        </w:rPr>
        <w:t>末</w:t>
      </w:r>
      <w:r>
        <w:rPr>
          <w:rFonts w:hint="eastAsia" w:ascii="仿宋_GB2312" w:hAnsi="黑体" w:eastAsia="仿宋_GB2312" w:cs="仿宋_GB2312"/>
          <w:kern w:val="0"/>
          <w:sz w:val="32"/>
          <w:szCs w:val="32"/>
          <w:highlight w:val="none"/>
        </w:rPr>
        <w:t>结转和结余</w:t>
      </w:r>
      <w:r>
        <w:rPr>
          <w:rFonts w:hint="eastAsia" w:ascii="仿宋_GB2312" w:hAnsi="黑体" w:eastAsia="仿宋_GB2312" w:cs="仿宋_GB2312"/>
          <w:kern w:val="0"/>
          <w:sz w:val="32"/>
          <w:szCs w:val="32"/>
          <w:highlight w:val="none"/>
          <w:lang w:val="en-US" w:eastAsia="zh-CN"/>
        </w:rPr>
        <w:t>6</w:t>
      </w:r>
      <w:r>
        <w:rPr>
          <w:rFonts w:hint="eastAsia" w:ascii="仿宋_GB2312" w:hAnsi="黑体" w:eastAsia="仿宋_GB2312" w:cs="仿宋_GB2312"/>
          <w:kern w:val="0"/>
          <w:sz w:val="32"/>
          <w:szCs w:val="32"/>
          <w:highlight w:val="none"/>
        </w:rPr>
        <w:t>万</w:t>
      </w:r>
      <w:bookmarkStart w:id="0" w:name="_GoBack"/>
      <w:bookmarkEnd w:id="0"/>
      <w:r>
        <w:rPr>
          <w:rFonts w:hint="eastAsia" w:ascii="仿宋_GB2312" w:hAnsi="黑体" w:eastAsia="仿宋_GB2312" w:cs="仿宋_GB2312"/>
          <w:kern w:val="0"/>
          <w:sz w:val="32"/>
          <w:szCs w:val="32"/>
          <w:highlight w:val="none"/>
        </w:rPr>
        <w:t>元，为以前年度支出预算因客观条件变化未执行完毕、结转到本年度按有关规定继续使用的资金。较</w:t>
      </w:r>
      <w:r>
        <w:rPr>
          <w:rFonts w:hint="eastAsia" w:ascii="仿宋_GB2312" w:hAnsi="黑体" w:eastAsia="仿宋_GB2312" w:cs="仿宋_GB2312"/>
          <w:kern w:val="0"/>
          <w:sz w:val="32"/>
          <w:szCs w:val="32"/>
          <w:highlight w:val="none"/>
          <w:lang w:eastAsia="zh-CN"/>
        </w:rPr>
        <w:t>2021</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6</w:t>
      </w:r>
      <w:r>
        <w:rPr>
          <w:rFonts w:hint="eastAsia" w:ascii="仿宋_GB2312" w:hAnsi="黑体" w:eastAsia="仿宋_GB2312" w:cs="仿宋_GB2312"/>
          <w:kern w:val="0"/>
          <w:sz w:val="32"/>
          <w:szCs w:val="32"/>
          <w:highlight w:val="none"/>
        </w:rPr>
        <w:t>万元，主要原因是</w:t>
      </w:r>
      <w:r>
        <w:rPr>
          <w:rFonts w:hint="eastAsia" w:ascii="仿宋_GB2312" w:hAnsi="黑体" w:eastAsia="仿宋_GB2312" w:cs="仿宋_GB2312"/>
          <w:kern w:val="0"/>
          <w:sz w:val="32"/>
          <w:szCs w:val="32"/>
          <w:highlight w:val="none"/>
          <w:lang w:val="en-US" w:eastAsia="zh-CN"/>
        </w:rPr>
        <w:t>2021年无财政拨款年末结转和结余</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2022</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本单位</w:t>
      </w:r>
      <w:r>
        <w:rPr>
          <w:rFonts w:hint="eastAsia" w:ascii="仿宋_GB2312" w:eastAsia="仿宋_GB2312"/>
          <w:kern w:val="0"/>
          <w:sz w:val="32"/>
          <w:szCs w:val="32"/>
        </w:rPr>
        <w:t>2022</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11</w:t>
      </w:r>
      <w:r>
        <w:rPr>
          <w:rFonts w:hint="eastAsia" w:ascii="仿宋_GB2312" w:eastAsia="仿宋_GB2312"/>
          <w:kern w:val="0"/>
          <w:sz w:val="32"/>
          <w:szCs w:val="32"/>
          <w:lang w:val="en-US" w:eastAsia="zh-CN"/>
        </w:rPr>
        <w:t>,</w:t>
      </w:r>
      <w:r>
        <w:rPr>
          <w:rFonts w:hint="eastAsia" w:ascii="仿宋_GB2312" w:eastAsia="仿宋_GB2312"/>
          <w:kern w:val="0"/>
          <w:sz w:val="32"/>
          <w:szCs w:val="32"/>
        </w:rPr>
        <w:t>758.95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2021</w:t>
      </w:r>
      <w:r>
        <w:rPr>
          <w:rFonts w:hint="eastAsia" w:ascii="仿宋_GB2312" w:hAnsi="黑体" w:eastAsia="仿宋_GB2312" w:cs="仿宋_GB2312"/>
          <w:kern w:val="0"/>
          <w:sz w:val="32"/>
          <w:szCs w:val="32"/>
        </w:rPr>
        <w:t>年度决算数增加2</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146.22万元，增长</w:t>
      </w:r>
      <w:r>
        <w:rPr>
          <w:rFonts w:hint="eastAsia" w:ascii="仿宋_GB2312" w:hAnsi="黑体" w:eastAsia="仿宋_GB2312" w:cs="仿宋_GB2312"/>
          <w:kern w:val="0"/>
          <w:sz w:val="32"/>
          <w:szCs w:val="32"/>
          <w:lang w:val="en-US" w:eastAsia="zh-CN"/>
        </w:rPr>
        <w:t>22.33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其中：基本支出3</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445.90万元，项目支出8</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313.05万元。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val="en-US" w:eastAsia="zh-CN"/>
        </w:rPr>
        <w:t>本单位</w:t>
      </w:r>
      <w:r>
        <w:rPr>
          <w:rFonts w:hint="eastAsia" w:ascii="仿宋_GB2312" w:hAnsi="黑体" w:eastAsia="仿宋_GB2312"/>
          <w:kern w:val="0"/>
          <w:sz w:val="32"/>
          <w:szCs w:val="32"/>
        </w:rPr>
        <w:t>2022</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公共预算财政拨款支出年初预算为10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139</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1</w:t>
      </w:r>
      <w:r>
        <w:rPr>
          <w:rFonts w:hint="eastAsia" w:ascii="仿宋_GB2312" w:hAnsi="黑体" w:eastAsia="仿宋_GB2312" w:cs="仿宋_GB2312"/>
          <w:kern w:val="0"/>
          <w:sz w:val="32"/>
          <w:szCs w:val="32"/>
          <w:lang w:eastAsia="zh-CN"/>
        </w:rPr>
        <w:t>4</w:t>
      </w:r>
      <w:r>
        <w:rPr>
          <w:rFonts w:hint="eastAsia" w:ascii="仿宋_GB2312" w:hAnsi="黑体" w:eastAsia="仿宋_GB2312" w:cs="仿宋_GB2312"/>
          <w:kern w:val="0"/>
          <w:sz w:val="32"/>
          <w:szCs w:val="32"/>
        </w:rPr>
        <w:t>万元，支出决算为11</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758.95万元，完成年初预算的</w:t>
      </w:r>
      <w:r>
        <w:rPr>
          <w:rFonts w:hint="eastAsia" w:ascii="仿宋_GB2312" w:hAnsi="黑体" w:eastAsia="仿宋_GB2312" w:cs="仿宋_GB2312"/>
          <w:kern w:val="0"/>
          <w:sz w:val="32"/>
          <w:szCs w:val="32"/>
          <w:lang w:val="en-US" w:eastAsia="zh-CN"/>
        </w:rPr>
        <w:t>115.98</w:t>
      </w:r>
      <w:r>
        <w:rPr>
          <w:rFonts w:hint="eastAsia" w:ascii="仿宋_GB2312" w:hAnsi="黑体"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（一）其他普通教育支出</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主要用于</w:t>
      </w:r>
      <w:r>
        <w:rPr>
          <w:rFonts w:hint="eastAsia" w:ascii="仿宋_GB2312" w:hAnsi="仿宋" w:eastAsia="仿宋_GB2312" w:cs="仿宋"/>
          <w:bCs/>
          <w:color w:val="auto"/>
          <w:sz w:val="32"/>
          <w:szCs w:val="32"/>
          <w:highlight w:val="none"/>
        </w:rPr>
        <w:t>广西教学名师、自治区优秀教师和自治区优秀教育工作者</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lang w:val="en-US" w:eastAsia="zh-CN"/>
        </w:rPr>
        <w:t>预决算差异原因为</w:t>
      </w:r>
      <w:r>
        <w:rPr>
          <w:rFonts w:hint="eastAsia" w:ascii="仿宋_GB2312" w:hAnsi="仿宋" w:eastAsia="仿宋_GB2312" w:cs="仿宋"/>
          <w:bCs/>
          <w:color w:val="auto"/>
          <w:sz w:val="32"/>
          <w:szCs w:val="32"/>
          <w:highlight w:val="none"/>
        </w:rPr>
        <w:t>年中追加</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2022年广西教学名师、自治区优秀教师和自治区优秀教育工作者奖金</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lang w:val="en-US" w:eastAsia="zh-CN"/>
        </w:rPr>
        <w:t>项目</w:t>
      </w:r>
      <w:r>
        <w:rPr>
          <w:rFonts w:hint="eastAsia" w:ascii="仿宋_GB2312" w:hAnsi="仿宋" w:eastAsia="仿宋_GB2312" w:cs="仿宋"/>
          <w:bCs/>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中等职业</w:t>
      </w:r>
      <w:r>
        <w:rPr>
          <w:rFonts w:hint="eastAsia" w:ascii="仿宋_GB2312" w:eastAsia="仿宋_GB2312" w:cs="仿宋_GB2312"/>
          <w:kern w:val="0"/>
          <w:sz w:val="32"/>
          <w:szCs w:val="32"/>
        </w:rPr>
        <w:t>教育</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年</w:t>
      </w:r>
      <w:r>
        <w:rPr>
          <w:rFonts w:hint="eastAsia" w:ascii="仿宋_GB2312" w:hAnsi="黑体" w:eastAsia="仿宋_GB2312" w:cs="仿宋_GB2312"/>
          <w:kern w:val="0"/>
          <w:sz w:val="32"/>
          <w:szCs w:val="32"/>
        </w:rPr>
        <w:t>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7.80</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highlight w:val="none"/>
        </w:rPr>
        <w:t>主要用于</w:t>
      </w:r>
      <w:r>
        <w:rPr>
          <w:rFonts w:hint="eastAsia" w:ascii="仿宋_GB2312" w:hAnsi="仿宋" w:eastAsia="仿宋_GB2312" w:cs="仿宋"/>
          <w:bCs/>
          <w:color w:val="auto"/>
          <w:sz w:val="32"/>
          <w:szCs w:val="32"/>
          <w:highlight w:val="none"/>
        </w:rPr>
        <w:t>中等职业教育国家奖学金</w:t>
      </w:r>
      <w:r>
        <w:rPr>
          <w:rFonts w:hint="eastAsia" w:ascii="仿宋_GB2312" w:hAnsi="Times New Roman" w:eastAsia="仿宋_GB2312" w:cs="仿宋_GB2312"/>
          <w:kern w:val="0"/>
          <w:sz w:val="32"/>
          <w:szCs w:val="32"/>
          <w:highlight w:val="none"/>
          <w:lang w:val="en-US" w:eastAsia="zh-CN" w:bidi="ar-SA"/>
        </w:rPr>
        <w:t>支出</w:t>
      </w:r>
      <w:r>
        <w:rPr>
          <w:rFonts w:hint="eastAsia" w:ascii="仿宋_GB2312" w:eastAsia="仿宋_GB2312" w:cs="仿宋_GB2312"/>
          <w:kern w:val="0"/>
          <w:sz w:val="32"/>
          <w:szCs w:val="32"/>
          <w:highlight w:val="none"/>
          <w:lang w:val="en-US" w:eastAsia="zh-CN" w:bidi="ar-SA"/>
        </w:rPr>
        <w:t>。</w:t>
      </w:r>
      <w:r>
        <w:rPr>
          <w:rFonts w:hint="eastAsia" w:ascii="仿宋_GB2312" w:hAnsi="黑体" w:eastAsia="仿宋_GB2312" w:cs="仿宋_GB2312"/>
          <w:kern w:val="0"/>
          <w:sz w:val="32"/>
          <w:szCs w:val="32"/>
          <w:highlight w:val="none"/>
        </w:rPr>
        <w:t>预决算差异</w:t>
      </w:r>
      <w:r>
        <w:rPr>
          <w:rFonts w:hint="eastAsia" w:ascii="仿宋_GB2312" w:hAnsi="黑体" w:eastAsia="仿宋_GB2312" w:cs="仿宋_GB2312"/>
          <w:kern w:val="0"/>
          <w:sz w:val="32"/>
          <w:szCs w:val="32"/>
          <w:highlight w:val="none"/>
          <w:lang w:val="en-US" w:eastAsia="zh-CN"/>
        </w:rPr>
        <w:t>主要原因是</w:t>
      </w:r>
      <w:r>
        <w:rPr>
          <w:rFonts w:hint="eastAsia" w:ascii="仿宋_GB2312" w:hAnsi="仿宋" w:eastAsia="仿宋_GB2312" w:cs="仿宋"/>
          <w:bCs/>
          <w:color w:val="auto"/>
          <w:sz w:val="32"/>
          <w:szCs w:val="32"/>
          <w:highlight w:val="none"/>
        </w:rPr>
        <w:t>中追加</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中等职业教育国家奖学金</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lang w:val="en-US" w:eastAsia="zh-CN"/>
        </w:rPr>
        <w:t>项目</w:t>
      </w:r>
      <w:r>
        <w:rPr>
          <w:rFonts w:hint="eastAsia" w:ascii="仿宋_GB2312" w:hAnsi="仿宋" w:eastAsia="仿宋_GB2312" w:cs="仿宋"/>
          <w:bCs/>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default" w:ascii="仿宋_GB2312" w:eastAsia="仿宋_GB2312" w:cs="仿宋_GB2312"/>
          <w:kern w:val="0"/>
          <w:sz w:val="32"/>
          <w:szCs w:val="32"/>
          <w:highlight w:val="yellow"/>
          <w:lang w:val="en-US"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技校教育</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年</w:t>
      </w:r>
      <w:r>
        <w:rPr>
          <w:rFonts w:hint="eastAsia" w:ascii="仿宋_GB2312" w:hAnsi="黑体" w:eastAsia="仿宋_GB2312" w:cs="仿宋_GB2312"/>
          <w:kern w:val="0"/>
          <w:sz w:val="32"/>
          <w:szCs w:val="32"/>
        </w:rPr>
        <w:t>初预算为9</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741.75万元，支出决算为10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886.18万元，完成年初预算的</w:t>
      </w:r>
      <w:r>
        <w:rPr>
          <w:rFonts w:hint="eastAsia" w:ascii="仿宋_GB2312" w:hAnsi="黑体" w:eastAsia="仿宋_GB2312" w:cs="仿宋_GB2312"/>
          <w:kern w:val="0"/>
          <w:sz w:val="32"/>
          <w:szCs w:val="32"/>
          <w:lang w:val="en-US" w:eastAsia="zh-CN"/>
        </w:rPr>
        <w:t>111.75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highlight w:val="none"/>
        </w:rPr>
        <w:t>主要用于</w:t>
      </w:r>
      <w:r>
        <w:rPr>
          <w:rFonts w:hint="eastAsia" w:ascii="仿宋_GB2312" w:hAnsi="Times New Roman" w:eastAsia="仿宋_GB2312" w:cs="仿宋_GB2312"/>
          <w:kern w:val="0"/>
          <w:sz w:val="32"/>
          <w:szCs w:val="32"/>
          <w:highlight w:val="none"/>
          <w:lang w:val="en-US" w:eastAsia="zh-CN" w:bidi="ar-SA"/>
        </w:rPr>
        <w:t>学院教育事务支出</w:t>
      </w:r>
      <w:r>
        <w:rPr>
          <w:rFonts w:hint="eastAsia" w:ascii="仿宋_GB2312" w:eastAsia="仿宋_GB2312" w:cs="仿宋_GB2312"/>
          <w:kern w:val="0"/>
          <w:sz w:val="32"/>
          <w:szCs w:val="32"/>
          <w:highlight w:val="none"/>
          <w:lang w:val="en-US" w:eastAsia="zh-CN" w:bidi="ar-SA"/>
        </w:rPr>
        <w:t>。</w:t>
      </w:r>
      <w:r>
        <w:rPr>
          <w:rFonts w:hint="eastAsia" w:ascii="仿宋_GB2312" w:hAnsi="黑体" w:eastAsia="仿宋_GB2312" w:cs="仿宋_GB2312"/>
          <w:kern w:val="0"/>
          <w:sz w:val="32"/>
          <w:szCs w:val="32"/>
          <w:highlight w:val="none"/>
        </w:rPr>
        <w:t>预决算差异</w:t>
      </w:r>
      <w:r>
        <w:rPr>
          <w:rFonts w:hint="eastAsia" w:ascii="仿宋_GB2312" w:hAnsi="黑体" w:eastAsia="仿宋_GB2312" w:cs="仿宋_GB2312"/>
          <w:kern w:val="0"/>
          <w:sz w:val="32"/>
          <w:szCs w:val="32"/>
          <w:highlight w:val="none"/>
          <w:lang w:val="en-US" w:eastAsia="zh-CN"/>
        </w:rPr>
        <w:t>主要原因是年中追加“现代职业教育质量提升计划经费”、“广西职业教育自治区级教学成果等次奖励经费”等项目。</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机关事业单位基本养老保险缴费支出</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年</w:t>
      </w:r>
      <w:r>
        <w:rPr>
          <w:rFonts w:hint="eastAsia" w:ascii="仿宋_GB2312" w:hAnsi="黑体" w:eastAsia="仿宋_GB2312" w:cs="仿宋_GB2312"/>
          <w:kern w:val="0"/>
          <w:sz w:val="32"/>
          <w:szCs w:val="32"/>
        </w:rPr>
        <w:t>初预算为179.61万元，支出决算为321.85万元，完成年初预算的</w:t>
      </w:r>
      <w:r>
        <w:rPr>
          <w:rFonts w:hint="eastAsia" w:ascii="仿宋_GB2312" w:hAnsi="黑体" w:eastAsia="仿宋_GB2312" w:cs="仿宋_GB2312"/>
          <w:kern w:val="0"/>
          <w:sz w:val="32"/>
          <w:szCs w:val="32"/>
          <w:lang w:val="en-US" w:eastAsia="zh-CN"/>
        </w:rPr>
        <w:t>179.19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职工基本养老保险缴费。</w:t>
      </w:r>
      <w:r>
        <w:rPr>
          <w:rFonts w:hint="eastAsia" w:ascii="仿宋_GB2312" w:hAnsi="仿宋" w:eastAsia="仿宋_GB2312" w:cs="仿宋"/>
          <w:bCs/>
          <w:color w:val="auto"/>
          <w:sz w:val="32"/>
          <w:szCs w:val="32"/>
          <w:highlight w:val="none"/>
        </w:rPr>
        <w:t>预决算差异的主要原因是年中追加自治区本级机关事业单位养老保险改革实施准备期清算结算资金。</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五</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高技能人才培养补助</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年</w:t>
      </w:r>
      <w:r>
        <w:rPr>
          <w:rFonts w:hint="eastAsia" w:ascii="仿宋_GB2312" w:hAnsi="黑体" w:eastAsia="仿宋_GB2312" w:cs="仿宋_GB2312"/>
          <w:kern w:val="0"/>
          <w:sz w:val="32"/>
          <w:szCs w:val="32"/>
        </w:rPr>
        <w:t>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万元，支出决算为319.51万元</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hAnsi="仿宋" w:eastAsia="仿宋_GB2312" w:cs="仿宋"/>
          <w:bCs/>
          <w:color w:val="auto"/>
          <w:sz w:val="32"/>
          <w:szCs w:val="32"/>
          <w:highlight w:val="none"/>
        </w:rPr>
        <w:t>高技能人才培养补助</w:t>
      </w:r>
      <w:r>
        <w:rPr>
          <w:rFonts w:hint="eastAsia" w:ascii="仿宋_GB2312" w:eastAsia="仿宋_GB2312" w:cs="仿宋_GB2312"/>
          <w:kern w:val="0"/>
          <w:sz w:val="32"/>
          <w:szCs w:val="32"/>
          <w:lang w:eastAsia="zh-CN"/>
        </w:rPr>
        <w:t>。</w:t>
      </w:r>
      <w:r>
        <w:rPr>
          <w:rFonts w:hint="eastAsia" w:ascii="仿宋_GB2312" w:hAnsi="仿宋" w:eastAsia="仿宋_GB2312" w:cs="仿宋"/>
          <w:bCs/>
          <w:color w:val="auto"/>
          <w:sz w:val="32"/>
          <w:szCs w:val="32"/>
          <w:highlight w:val="none"/>
        </w:rPr>
        <w:t>预决算差异的主要原因是年中追加高技能人才培养补助资金。</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仿宋" w:eastAsia="仿宋_GB2312" w:cs="仿宋"/>
          <w:bCs/>
          <w:color w:val="auto"/>
          <w:sz w:val="32"/>
          <w:szCs w:val="32"/>
          <w:highlight w:val="none"/>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其他社会保障和就业支出</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年</w:t>
      </w:r>
      <w:r>
        <w:rPr>
          <w:rFonts w:hint="eastAsia" w:ascii="仿宋_GB2312" w:hAnsi="黑体" w:eastAsia="仿宋_GB2312" w:cs="仿宋_GB2312"/>
          <w:kern w:val="0"/>
          <w:sz w:val="32"/>
          <w:szCs w:val="32"/>
        </w:rPr>
        <w:t>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万元，支出决算为6.32万元</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一次性</w:t>
      </w:r>
      <w:r>
        <w:rPr>
          <w:rFonts w:hint="eastAsia" w:ascii="仿宋_GB2312" w:hAnsi="仿宋" w:eastAsia="仿宋_GB2312" w:cs="仿宋"/>
          <w:bCs/>
          <w:color w:val="auto"/>
          <w:sz w:val="32"/>
          <w:szCs w:val="32"/>
          <w:highlight w:val="none"/>
        </w:rPr>
        <w:t>抚恤</w:t>
      </w:r>
      <w:r>
        <w:rPr>
          <w:rFonts w:hint="eastAsia" w:ascii="仿宋_GB2312" w:hAnsi="仿宋" w:eastAsia="仿宋_GB2312" w:cs="仿宋"/>
          <w:bCs/>
          <w:color w:val="auto"/>
          <w:sz w:val="32"/>
          <w:szCs w:val="32"/>
          <w:highlight w:val="none"/>
          <w:lang w:val="en-US" w:eastAsia="zh-CN"/>
        </w:rPr>
        <w:t>金。</w:t>
      </w:r>
      <w:r>
        <w:rPr>
          <w:rFonts w:hint="eastAsia" w:ascii="仿宋_GB2312" w:hAnsi="仿宋" w:eastAsia="仿宋_GB2312" w:cs="仿宋"/>
          <w:bCs/>
          <w:color w:val="auto"/>
          <w:sz w:val="32"/>
          <w:szCs w:val="32"/>
          <w:highlight w:val="none"/>
        </w:rPr>
        <w:t>预决算差异的主要原因是年中追加一次性抚恤金。</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仿宋" w:eastAsia="仿宋_GB2312" w:cs="仿宋"/>
          <w:bCs/>
          <w:color w:val="auto"/>
          <w:sz w:val="32"/>
          <w:szCs w:val="32"/>
          <w:highlight w:val="none"/>
          <w:lang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事业单位医疗支出</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年</w:t>
      </w:r>
      <w:r>
        <w:rPr>
          <w:rFonts w:hint="eastAsia" w:ascii="仿宋_GB2312" w:hAnsi="黑体" w:eastAsia="仿宋_GB2312" w:cs="仿宋_GB2312"/>
          <w:kern w:val="0"/>
          <w:sz w:val="32"/>
          <w:szCs w:val="32"/>
        </w:rPr>
        <w:t>初预算为83.07万元，支出决算为82.60万元，完成年初预算的</w:t>
      </w:r>
      <w:r>
        <w:rPr>
          <w:rFonts w:hint="eastAsia" w:ascii="仿宋_GB2312" w:hAnsi="黑体" w:eastAsia="仿宋_GB2312" w:cs="仿宋_GB2312"/>
          <w:kern w:val="0"/>
          <w:sz w:val="32"/>
          <w:szCs w:val="32"/>
          <w:lang w:val="en-US" w:eastAsia="zh-CN"/>
        </w:rPr>
        <w:t>99.43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hAnsi="仿宋" w:eastAsia="仿宋_GB2312" w:cs="仿宋"/>
          <w:bCs/>
          <w:color w:val="auto"/>
          <w:sz w:val="32"/>
          <w:szCs w:val="32"/>
          <w:highlight w:val="none"/>
        </w:rPr>
        <w:t>按国家规定的在职人员医疗保险缴费及离休人员医疗费支出</w:t>
      </w:r>
      <w:r>
        <w:rPr>
          <w:rFonts w:hint="eastAsia" w:ascii="仿宋_GB2312" w:hAnsi="仿宋" w:eastAsia="仿宋_GB2312" w:cs="仿宋"/>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八</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住房公积金支出</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项</w:t>
      </w:r>
      <w:r>
        <w:rPr>
          <w:rFonts w:hint="eastAsia" w:ascii="仿宋_GB2312" w:eastAsia="仿宋_GB2312"/>
          <w:bCs/>
          <w:kern w:val="0"/>
          <w:sz w:val="32"/>
          <w:szCs w:val="32"/>
          <w:lang w:eastAsia="zh-CN"/>
        </w:rPr>
        <w:t>）</w:t>
      </w:r>
      <w:r>
        <w:rPr>
          <w:rFonts w:hint="eastAsia" w:ascii="仿宋_GB2312" w:eastAsia="仿宋_GB2312" w:cs="仿宋_GB2312"/>
          <w:kern w:val="0"/>
          <w:sz w:val="32"/>
          <w:szCs w:val="32"/>
          <w:lang w:val="en-US" w:eastAsia="zh-CN"/>
        </w:rPr>
        <w:t>年</w:t>
      </w:r>
      <w:r>
        <w:rPr>
          <w:rFonts w:hint="eastAsia" w:ascii="仿宋_GB2312" w:hAnsi="黑体" w:eastAsia="仿宋_GB2312" w:cs="仿宋_GB2312"/>
          <w:kern w:val="0"/>
          <w:sz w:val="32"/>
          <w:szCs w:val="32"/>
        </w:rPr>
        <w:t>初预算为134.71万元，支出决算为133.69万元，完成年初预算的</w:t>
      </w:r>
      <w:r>
        <w:rPr>
          <w:rFonts w:hint="eastAsia" w:ascii="仿宋_GB2312" w:hAnsi="黑体" w:eastAsia="仿宋_GB2312" w:cs="仿宋_GB2312"/>
          <w:kern w:val="0"/>
          <w:sz w:val="32"/>
          <w:szCs w:val="32"/>
          <w:lang w:val="en-US" w:eastAsia="zh-CN"/>
        </w:rPr>
        <w:t>99.24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 w:hAnsi="仿宋" w:eastAsia="仿宋" w:cs="仿宋_GB2312"/>
          <w:kern w:val="0"/>
          <w:sz w:val="32"/>
          <w:szCs w:val="32"/>
        </w:rPr>
        <w:t>按照国家政策规定</w:t>
      </w:r>
      <w:r>
        <w:rPr>
          <w:rFonts w:hint="eastAsia" w:ascii="仿宋" w:hAnsi="仿宋" w:eastAsia="仿宋" w:cs="仿宋_GB2312"/>
          <w:kern w:val="0"/>
          <w:sz w:val="32"/>
          <w:szCs w:val="32"/>
          <w:lang w:val="en-US" w:eastAsia="zh-CN"/>
        </w:rPr>
        <w:t>为</w:t>
      </w:r>
      <w:r>
        <w:rPr>
          <w:rFonts w:hint="eastAsia" w:ascii="仿宋" w:hAnsi="仿宋" w:eastAsia="仿宋" w:cs="仿宋_GB2312"/>
          <w:kern w:val="0"/>
          <w:sz w:val="32"/>
          <w:szCs w:val="32"/>
        </w:rPr>
        <w:t>职工</w:t>
      </w:r>
      <w:r>
        <w:rPr>
          <w:rFonts w:hint="eastAsia" w:ascii="仿宋" w:hAnsi="仿宋" w:eastAsia="仿宋" w:cs="仿宋_GB2312"/>
          <w:kern w:val="0"/>
          <w:sz w:val="32"/>
          <w:szCs w:val="32"/>
          <w:lang w:val="en-US" w:eastAsia="zh-CN"/>
        </w:rPr>
        <w:t>缴纳</w:t>
      </w:r>
      <w:r>
        <w:rPr>
          <w:rFonts w:hint="eastAsia" w:ascii="仿宋" w:hAnsi="仿宋" w:eastAsia="仿宋" w:cs="仿宋_GB2312"/>
          <w:kern w:val="0"/>
          <w:sz w:val="32"/>
          <w:szCs w:val="32"/>
        </w:rPr>
        <w:t>住房公积金</w:t>
      </w:r>
      <w:r>
        <w:rPr>
          <w:rFonts w:hint="eastAsia" w:ascii="仿宋" w:hAnsi="仿宋" w:eastAsia="仿宋" w:cs="仿宋_GB2312"/>
          <w:kern w:val="0"/>
          <w:sz w:val="32"/>
          <w:szCs w:val="32"/>
          <w:lang w:val="en-US" w:eastAsia="zh-CN"/>
        </w:rPr>
        <w:t>等</w:t>
      </w:r>
      <w:r>
        <w:rPr>
          <w:rFonts w:hint="eastAsia" w:ascii="仿宋" w:hAnsi="仿宋" w:eastAsia="仿宋" w:cs="仿宋_GB2312"/>
          <w:spacing w:val="-3"/>
          <w:kern w:val="0"/>
          <w:sz w:val="32"/>
          <w:szCs w:val="32"/>
        </w:rPr>
        <w:t>支出。</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三、2022年度一般公共预算财政拨款基本支出决算情况说明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2022年度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eastAsia="zh-CN"/>
        </w:rPr>
        <w:t>3</w:t>
      </w:r>
      <w:r>
        <w:rPr>
          <w:rFonts w:hint="eastAsia" w:ascii="仿宋_GB2312" w:eastAsia="仿宋_GB2312" w:cs="仿宋_GB2312"/>
          <w:kern w:val="0"/>
          <w:sz w:val="32"/>
          <w:szCs w:val="32"/>
          <w:lang w:val="en-US" w:eastAsia="zh-CN"/>
        </w:rPr>
        <w:t>,445.89</w:t>
      </w:r>
      <w:r>
        <w:rPr>
          <w:rFonts w:hint="eastAsia" w:ascii="仿宋_GB2312" w:eastAsia="仿宋_GB2312" w:cs="仿宋_GB2312"/>
          <w:kern w:val="0"/>
          <w:sz w:val="32"/>
          <w:szCs w:val="32"/>
        </w:rPr>
        <w:t>万元，支出具体情况如下：</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bCs/>
          <w:kern w:val="0"/>
          <w:sz w:val="32"/>
          <w:szCs w:val="32"/>
        </w:rPr>
      </w:pPr>
      <w:r>
        <w:rPr>
          <w:rFonts w:hint="eastAsia" w:ascii="仿宋_GB2312" w:eastAsia="仿宋_GB2312"/>
          <w:bCs/>
          <w:kern w:val="0"/>
          <w:sz w:val="32"/>
          <w:szCs w:val="32"/>
        </w:rPr>
        <w:t>（一）工资福利支出1</w:t>
      </w:r>
      <w:r>
        <w:rPr>
          <w:rFonts w:hint="eastAsia" w:ascii="仿宋_GB2312" w:eastAsia="仿宋_GB2312"/>
          <w:bCs/>
          <w:kern w:val="0"/>
          <w:sz w:val="32"/>
          <w:szCs w:val="32"/>
          <w:lang w:val="en-US" w:eastAsia="zh-CN"/>
        </w:rPr>
        <w:t>,</w:t>
      </w:r>
      <w:r>
        <w:rPr>
          <w:rFonts w:hint="eastAsia" w:ascii="仿宋_GB2312" w:eastAsia="仿宋_GB2312"/>
          <w:bCs/>
          <w:kern w:val="0"/>
          <w:sz w:val="32"/>
          <w:szCs w:val="32"/>
        </w:rPr>
        <w:t>884.60万元，完成年初预算的</w:t>
      </w:r>
      <w:r>
        <w:rPr>
          <w:rFonts w:hint="eastAsia" w:ascii="仿宋_GB2312" w:eastAsia="仿宋_GB2312"/>
          <w:bCs/>
          <w:kern w:val="0"/>
          <w:sz w:val="32"/>
          <w:szCs w:val="32"/>
          <w:lang w:val="en-US" w:eastAsia="zh-CN"/>
        </w:rPr>
        <w:t>99.53</w:t>
      </w:r>
      <w:r>
        <w:rPr>
          <w:rFonts w:hint="eastAsia" w:ascii="仿宋_GB2312" w:eastAsia="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bCs/>
          <w:kern w:val="0"/>
          <w:sz w:val="32"/>
          <w:szCs w:val="32"/>
        </w:rPr>
      </w:pPr>
      <w:r>
        <w:rPr>
          <w:rFonts w:hint="eastAsia" w:ascii="仿宋_GB2312" w:eastAsia="仿宋_GB2312"/>
          <w:bCs/>
          <w:kern w:val="0"/>
          <w:sz w:val="32"/>
          <w:szCs w:val="32"/>
        </w:rPr>
        <w:t>（二）商品和服务支出1</w:t>
      </w:r>
      <w:r>
        <w:rPr>
          <w:rFonts w:hint="eastAsia" w:ascii="仿宋_GB2312" w:eastAsia="仿宋_GB2312"/>
          <w:bCs/>
          <w:kern w:val="0"/>
          <w:sz w:val="32"/>
          <w:szCs w:val="32"/>
          <w:lang w:val="en-US" w:eastAsia="zh-CN"/>
        </w:rPr>
        <w:t>,</w:t>
      </w:r>
      <w:r>
        <w:rPr>
          <w:rFonts w:hint="eastAsia" w:ascii="仿宋_GB2312" w:eastAsia="仿宋_GB2312"/>
          <w:bCs/>
          <w:kern w:val="0"/>
          <w:sz w:val="32"/>
          <w:szCs w:val="32"/>
        </w:rPr>
        <w:t>279.66万元，完成年初预算的</w:t>
      </w:r>
      <w:r>
        <w:rPr>
          <w:rFonts w:hint="eastAsia" w:ascii="仿宋_GB2312" w:eastAsia="仿宋_GB2312"/>
          <w:bCs/>
          <w:kern w:val="0"/>
          <w:sz w:val="32"/>
          <w:szCs w:val="32"/>
          <w:lang w:val="en-US" w:eastAsia="zh-CN"/>
        </w:rPr>
        <w:t>99.18</w:t>
      </w:r>
      <w:r>
        <w:rPr>
          <w:rFonts w:hint="eastAsia" w:ascii="仿宋_GB2312" w:eastAsia="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三</w:t>
      </w:r>
      <w:r>
        <w:rPr>
          <w:rFonts w:hint="eastAsia" w:ascii="仿宋_GB2312" w:eastAsia="仿宋_GB2312"/>
          <w:bCs/>
          <w:kern w:val="0"/>
          <w:sz w:val="32"/>
          <w:szCs w:val="32"/>
        </w:rPr>
        <w:t>）对个人和家庭的补助281.63万元，完成年初预算的</w:t>
      </w:r>
      <w:r>
        <w:rPr>
          <w:rFonts w:hint="eastAsia" w:ascii="仿宋_GB2312" w:eastAsia="仿宋_GB2312"/>
          <w:bCs/>
          <w:kern w:val="0"/>
          <w:sz w:val="32"/>
          <w:szCs w:val="32"/>
          <w:lang w:val="en-US" w:eastAsia="zh-CN"/>
        </w:rPr>
        <w:t>97.62</w:t>
      </w:r>
      <w:r>
        <w:rPr>
          <w:rFonts w:hint="eastAsia" w:ascii="仿宋_GB2312" w:eastAsia="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四、2022年度政府性基金支出决算情况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本单位</w:t>
      </w:r>
      <w:r>
        <w:rPr>
          <w:rFonts w:hint="eastAsia" w:ascii="仿宋" w:hAnsi="仿宋" w:eastAsia="仿宋" w:cs="仿宋"/>
          <w:kern w:val="0"/>
          <w:sz w:val="32"/>
          <w:szCs w:val="32"/>
        </w:rPr>
        <w:t>2022年度政府性基金支出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万元，较2020年度决算数增加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万元，项目支出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本单位</w:t>
      </w:r>
      <w:r>
        <w:rPr>
          <w:rFonts w:hint="eastAsia" w:ascii="仿宋" w:hAnsi="仿宋" w:eastAsia="仿宋" w:cs="仿宋"/>
          <w:kern w:val="0"/>
          <w:sz w:val="32"/>
          <w:szCs w:val="32"/>
        </w:rPr>
        <w:t>2022年度政府性基金支出年初预算为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万元，支出决算为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五、2022年度国有资本经营预算支出决算情况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本单位</w:t>
      </w:r>
      <w:r>
        <w:rPr>
          <w:rFonts w:hint="eastAsia" w:ascii="仿宋" w:hAnsi="仿宋" w:eastAsia="仿宋" w:cs="仿宋"/>
          <w:kern w:val="0"/>
          <w:sz w:val="32"/>
          <w:szCs w:val="32"/>
        </w:rPr>
        <w:t>2022年度国有资本经营预算支出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万元，项目支出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本单位</w:t>
      </w:r>
      <w:r>
        <w:rPr>
          <w:rFonts w:hint="eastAsia" w:ascii="仿宋" w:hAnsi="仿宋" w:eastAsia="仿宋" w:cs="仿宋"/>
          <w:kern w:val="0"/>
          <w:sz w:val="32"/>
          <w:szCs w:val="32"/>
        </w:rPr>
        <w:t>2022年度国有资本经营预算支出年初预算为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万元，支出决算为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lang w:val="en-US" w:eastAsia="zh-CN"/>
        </w:rPr>
        <w:t>六</w:t>
      </w:r>
      <w:r>
        <w:rPr>
          <w:rFonts w:hint="eastAsia" w:ascii="黑体" w:hAnsi="黑体" w:eastAsia="黑体" w:cs="仿宋_GB2312"/>
          <w:kern w:val="0"/>
          <w:sz w:val="32"/>
          <w:szCs w:val="32"/>
        </w:rPr>
        <w:t>、</w:t>
      </w:r>
      <w:r>
        <w:rPr>
          <w:rFonts w:hint="eastAsia" w:ascii="黑体" w:hAnsi="黑体" w:eastAsia="黑体" w:cs="仿宋_GB2312"/>
          <w:kern w:val="0"/>
          <w:sz w:val="32"/>
          <w:szCs w:val="32"/>
          <w:lang w:val="en-US" w:eastAsia="zh-CN"/>
        </w:rPr>
        <w:t>一般公共预算</w:t>
      </w:r>
      <w:r>
        <w:rPr>
          <w:rFonts w:hint="eastAsia" w:ascii="黑体" w:hAnsi="黑体" w:eastAsia="黑体" w:cs="仿宋_GB2312"/>
          <w:kern w:val="0"/>
          <w:sz w:val="32"/>
          <w:szCs w:val="32"/>
        </w:rPr>
        <w:t>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2022年度财政拨款安排的“三公”经费支出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val="en-US" w:eastAsia="zh-CN"/>
        </w:rPr>
        <w:t>加0</w:t>
      </w:r>
      <w:r>
        <w:rPr>
          <w:rFonts w:hint="eastAsia" w:ascii="仿宋_GB2312" w:eastAsia="仿宋_GB2312" w:cs="仿宋_GB2312"/>
          <w:kern w:val="0"/>
          <w:sz w:val="32"/>
          <w:szCs w:val="32"/>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lang w:val="en-US" w:eastAsia="zh-CN"/>
        </w:rPr>
        <w:t>七</w:t>
      </w:r>
      <w:r>
        <w:rPr>
          <w:rFonts w:hint="eastAsia" w:ascii="黑体" w:hAnsi="黑体" w:eastAsia="黑体" w:cs="仿宋_GB2312"/>
          <w:kern w:val="0"/>
          <w:sz w:val="32"/>
          <w:szCs w:val="32"/>
        </w:rPr>
        <w:t>、其他重要事项情况说明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（一）机关运行经费支出情况说明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val="en-US" w:eastAsia="zh-CN"/>
        </w:rPr>
        <w:t>单位为事业单位，</w:t>
      </w:r>
      <w:r>
        <w:rPr>
          <w:rFonts w:hint="eastAsia" w:ascii="仿宋_GB2312" w:eastAsia="仿宋_GB2312" w:cs="仿宋_GB2312"/>
          <w:kern w:val="0"/>
          <w:sz w:val="32"/>
          <w:szCs w:val="32"/>
        </w:rPr>
        <w:t>2022年度</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机关运行经费支出。</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（二）政府采购支出情况说明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2022年度政府采购支出总额4</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614</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65万元，其中：政府采购货物支出580</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96万元、政府采购工程支出1</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366</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45万元、政府采购服务支出2</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667</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万元。授予中小企业合同金额3</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506</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0</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75.98</w:t>
      </w:r>
      <w:r>
        <w:rPr>
          <w:rFonts w:hint="eastAsia" w:ascii="仿宋_GB2312" w:eastAsia="仿宋_GB2312" w:cs="仿宋_GB2312"/>
          <w:kern w:val="0"/>
          <w:sz w:val="32"/>
          <w:szCs w:val="32"/>
        </w:rPr>
        <w:t>%，其中：授予小微企业合同金额3</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356</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25万元，占授予中小企业合同金额的</w:t>
      </w:r>
      <w:r>
        <w:rPr>
          <w:rFonts w:hint="eastAsia" w:ascii="仿宋_GB2312" w:eastAsia="仿宋_GB2312" w:cs="仿宋_GB2312"/>
          <w:kern w:val="0"/>
          <w:sz w:val="32"/>
          <w:szCs w:val="32"/>
          <w:lang w:val="en-US" w:eastAsia="zh-CN"/>
        </w:rPr>
        <w:t>95.73</w:t>
      </w:r>
      <w:r>
        <w:rPr>
          <w:rFonts w:hint="eastAsia" w:ascii="仿宋_GB2312" w:eastAsia="仿宋_GB2312" w:cs="仿宋_GB2312"/>
          <w:kern w:val="0"/>
          <w:sz w:val="32"/>
          <w:szCs w:val="32"/>
        </w:rPr>
        <w:t>%；</w:t>
      </w:r>
      <w:r>
        <w:rPr>
          <w:rFonts w:hint="eastAsia" w:ascii="仿宋_GB2312" w:eastAsia="仿宋_GB2312" w:cs="仿宋_GB2312"/>
          <w:kern w:val="0"/>
          <w:sz w:val="32"/>
          <w:szCs w:val="32"/>
          <w:highlight w:val="none"/>
        </w:rPr>
        <w:t>货物采购授予中小企业合同金额占货物支出金额</w:t>
      </w:r>
      <w:r>
        <w:rPr>
          <w:rFonts w:hint="eastAsia" w:ascii="仿宋_GB2312" w:eastAsia="仿宋_GB2312" w:cs="仿宋_GB2312"/>
          <w:kern w:val="0"/>
          <w:sz w:val="32"/>
          <w:szCs w:val="32"/>
          <w:highlight w:val="none"/>
          <w:lang w:val="en-US" w:eastAsia="zh-CN"/>
        </w:rPr>
        <w:t>79.59</w:t>
      </w:r>
      <w:r>
        <w:rPr>
          <w:rFonts w:hint="eastAsia" w:ascii="仿宋_GB2312"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highlight w:val="none"/>
          <w:lang w:val="en-US" w:eastAsia="zh-CN"/>
        </w:rPr>
        <w:t>100</w:t>
      </w:r>
      <w:r>
        <w:rPr>
          <w:rFonts w:hint="eastAsia" w:ascii="仿宋_GB2312"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highlight w:val="none"/>
          <w:lang w:val="en-US" w:eastAsia="zh-CN"/>
        </w:rPr>
        <w:t>62.89</w:t>
      </w:r>
      <w:r>
        <w:rPr>
          <w:rFonts w:hint="eastAsia" w:asci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（三）国有资产占用情况说明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截至2022年12月31日，本</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辆，</w:t>
      </w:r>
      <w:r>
        <w:rPr>
          <w:rFonts w:hint="eastAsia" w:ascii="仿宋_GB2312" w:eastAsia="仿宋_GB2312" w:cs="仿宋_GB2312"/>
          <w:kern w:val="0"/>
          <w:sz w:val="32"/>
          <w:szCs w:val="32"/>
          <w:highlight w:val="none"/>
        </w:rPr>
        <w:t>其他用车主要是</w:t>
      </w:r>
      <w:r>
        <w:rPr>
          <w:rFonts w:hint="eastAsia" w:ascii="仿宋_GB2312" w:eastAsia="仿宋_GB2312" w:cs="仿宋_GB2312"/>
          <w:kern w:val="0"/>
          <w:sz w:val="32"/>
          <w:szCs w:val="32"/>
          <w:highlight w:val="none"/>
          <w:lang w:val="en-US" w:eastAsia="zh-CN"/>
        </w:rPr>
        <w:t>日常公务用车</w:t>
      </w:r>
      <w:r>
        <w:rPr>
          <w:rFonts w:hint="eastAsia" w:ascii="仿宋_GB2312" w:eastAsia="仿宋_GB2312" w:cs="仿宋_GB2312"/>
          <w:kern w:val="0"/>
          <w:sz w:val="32"/>
          <w:szCs w:val="32"/>
        </w:rPr>
        <w:t>；单位价值50万元以上通用设备</w:t>
      </w:r>
      <w:r>
        <w:rPr>
          <w:rFonts w:hint="eastAsia" w:ascii="仿宋_GB2312" w:eastAsia="仿宋_GB2312" w:cs="仿宋_GB2312"/>
          <w:kern w:val="0"/>
          <w:sz w:val="32"/>
          <w:szCs w:val="32"/>
          <w:highlight w:val="none"/>
          <w:lang w:val="en-US" w:eastAsia="zh-CN"/>
        </w:rPr>
        <w:t>12</w:t>
      </w:r>
      <w:r>
        <w:rPr>
          <w:rFonts w:hint="eastAsia" w:ascii="仿宋_GB2312" w:eastAsia="仿宋_GB2312" w:cs="仿宋_GB2312"/>
          <w:kern w:val="0"/>
          <w:sz w:val="32"/>
          <w:szCs w:val="32"/>
        </w:rPr>
        <w:t>台（套）；单位价值100万元以上专用设备</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台（套）。</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楷体_GB2312" w:eastAsia="楷体_GB2312" w:cs="仿宋_GB2312"/>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预算绩效管理工作开展情况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绩效管理工作开展情况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根据财政预算绩效管理要求，本</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组织对2022年度38个一般公共预算项目支出开展绩效自评，共涉及资金8,375.03万元，占一般公共预算项目支出总额的100%。2022年度无政府性基金预算项目支出；2022年度无国有资本经营预算项目支出。</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组织对“校区智能安全用电工程”等42个项目进行了部门评价，涉及一般公共预算支出8,375.03万元，政府性基金预算支出0万元，国有资本经营预算支出0万元。从评价情况来看，很好地完成了各项预算支出项目绩效目标，达到加强财政资金管理，优化财政支出结构，提高财政资金使用效益目的。</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部门决算中项目绩效自评结果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项目绩效自评总体情况：经本</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对照年初设定的绩效目标自评，39个项目评为一等，占项目总数比例92.86%；2个项目评为二等，占项目总数比例4.76%；0个项目评为三等，占项目总数比例0%；1个项目评为四等，占项目总数比例2.38%。自评发现的主要问题及原因：一是部分项目成本指标金额未达到；二是部分项目时效指标完成时间</w:t>
      </w:r>
      <w:r>
        <w:rPr>
          <w:rFonts w:hint="eastAsia" w:ascii="仿宋_GB2312" w:eastAsia="仿宋_GB2312" w:cs="仿宋_GB2312"/>
          <w:kern w:val="0"/>
          <w:sz w:val="32"/>
          <w:szCs w:val="32"/>
          <w:lang w:val="en-US" w:eastAsia="zh-CN"/>
        </w:rPr>
        <w:t>滞</w:t>
      </w:r>
      <w:r>
        <w:rPr>
          <w:rFonts w:hint="eastAsia" w:ascii="仿宋_GB2312" w:eastAsia="仿宋_GB2312" w:cs="仿宋_GB2312"/>
          <w:kern w:val="0"/>
          <w:sz w:val="32"/>
          <w:szCs w:val="32"/>
        </w:rPr>
        <w:t>后；三是部分项目完成值高于指标值较多；四是部分项目执行率较低。下一步改进措施：一是根据批复下达文件及时申报调整绩效目标指标值，使指标内容与实际相符；二是</w:t>
      </w:r>
      <w:r>
        <w:rPr>
          <w:rFonts w:hint="eastAsia" w:ascii="仿宋_GB2312" w:eastAsia="仿宋_GB2312" w:cs="仿宋_GB2312"/>
          <w:kern w:val="0"/>
          <w:sz w:val="32"/>
          <w:szCs w:val="32"/>
          <w:lang w:val="en-US" w:eastAsia="zh-CN"/>
        </w:rPr>
        <w:t>对</w:t>
      </w:r>
      <w:r>
        <w:rPr>
          <w:rFonts w:hint="eastAsia" w:ascii="仿宋_GB2312" w:eastAsia="仿宋_GB2312" w:cs="仿宋_GB2312"/>
          <w:kern w:val="0"/>
          <w:sz w:val="32"/>
          <w:szCs w:val="32"/>
        </w:rPr>
        <w:t>政采项目</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提前筹备采购计划备案流程，为招标提供前置条件，以保证项目按时按质完成；三是在绩效目标申报表的制订及审核过程中，结合历年数据进行参考，充分考虑各种因素影响，认真核对上报数据，使指标数值更精准；四是从根本上强化预算管理，加强对预算的编制和执行的管理，提高预算的编制质量和执行的有效性。</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部分重点项目绩效自评情况：根据《中共广西壮族自治区委员会广西壮族自治区人民政府关于全面实施预算绩效管理的实施意见》(桂发〔2018〕26号)、《广西壮族自治区财政厅关于开展2023年项目支出部门绩效评价管理办法的通知》（桂财办〔2020〕84号）以及《广西壮族自治区交通运输厅办公室关于开展2023年项目支出部门绩效评价工作的通知》。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纳入2023年度</w:t>
      </w:r>
      <w:r>
        <w:rPr>
          <w:rFonts w:hint="eastAsia" w:ascii="仿宋_GB2312" w:eastAsia="仿宋_GB2312" w:cs="仿宋_GB2312"/>
          <w:kern w:val="0"/>
          <w:sz w:val="32"/>
          <w:szCs w:val="32"/>
          <w:lang w:val="en-US" w:eastAsia="zh-CN"/>
        </w:rPr>
        <w:t>重点</w:t>
      </w:r>
      <w:r>
        <w:rPr>
          <w:rFonts w:hint="eastAsia" w:ascii="仿宋_GB2312" w:eastAsia="仿宋_GB2312" w:cs="仿宋_GB2312"/>
          <w:kern w:val="0"/>
          <w:sz w:val="32"/>
          <w:szCs w:val="32"/>
        </w:rPr>
        <w:t>绩效评价项目1个，为“伊岭校区校园智慧管理服务”项目，自评得分为9</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分。项目全年预算数为330万元，执行数为330万元，完成预算的100%。项目绩效目标完成情况：一是前期准备分值为5分，该项目自评得分为5分；二是项目管理分值10分，该项目自评得分为9分；三是资金管理得分23分，根据评分规则实际自评得分23分；四是绩效评价管理2分，该项目自评得分2分；五是项目产出30分，该项目自评得分</w:t>
      </w:r>
      <w:r>
        <w:rPr>
          <w:rFonts w:hint="eastAsia" w:ascii="仿宋_GB2312" w:eastAsia="仿宋_GB2312" w:cs="仿宋_GB2312"/>
          <w:kern w:val="0"/>
          <w:sz w:val="32"/>
          <w:szCs w:val="32"/>
          <w:lang w:val="en-US" w:eastAsia="zh-CN"/>
        </w:rPr>
        <w:t>29</w:t>
      </w:r>
      <w:r>
        <w:rPr>
          <w:rFonts w:hint="eastAsia" w:ascii="仿宋_GB2312" w:eastAsia="仿宋_GB2312" w:cs="仿宋_GB2312"/>
          <w:kern w:val="0"/>
          <w:sz w:val="32"/>
          <w:szCs w:val="32"/>
        </w:rPr>
        <w:t>分；六是项目效果30分，该项目自评得分30分。自评发现的主要问题及原因：与合同履约时间相比，项目整体实施进度滞后。由于项目需要时间进行安装、部署、调试的工作，平台使用效果需要学院在使用过程中发现问题并逐步完善平台各模块功能，项目实施进度滞后，导致项目调试时间不足，平台有待逐步完善，平台使用效果有待进一步跟踪观察，项目实施成效总结尚不全面。</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下一步改进措施：对项目的整体进度计划进行细分，形成具体的、可执行、有时间结点的进度计划，并根据项目的实际执行情况，及时跟踪绩效目标完成率等指标,发现偏差，及时采取有效措施调整。</w:t>
      </w:r>
    </w:p>
    <w:p>
      <w:pPr>
        <w:autoSpaceDE w:val="0"/>
        <w:autoSpaceDN w:val="0"/>
        <w:adjustRightInd w:val="0"/>
        <w:snapToGrid w:val="0"/>
        <w:spacing w:line="560" w:lineRule="exact"/>
        <w:jc w:val="center"/>
        <w:rPr>
          <w:rFonts w:hint="eastAsia" w:ascii="仿宋_GB2312" w:eastAsia="仿宋_GB2312" w:cs="仿宋_GB2312"/>
          <w:b/>
          <w:kern w:val="0"/>
          <w:sz w:val="32"/>
          <w:szCs w:val="32"/>
        </w:rPr>
      </w:pPr>
    </w:p>
    <w:p>
      <w:pPr>
        <w:autoSpaceDE w:val="0"/>
        <w:autoSpaceDN w:val="0"/>
        <w:adjustRightInd w:val="0"/>
        <w:snapToGri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eastAsia="仿宋_GB2312"/>
          <w:sz w:val="32"/>
          <w:szCs w:val="32"/>
        </w:rPr>
      </w:pPr>
      <w:r>
        <w:rPr>
          <w:rFonts w:hint="eastAsia" w:ascii="仿宋_GB2312" w:eastAsia="仿宋_GB2312"/>
          <w:sz w:val="32"/>
          <w:szCs w:val="32"/>
        </w:rPr>
        <w:t>一、财政拨款收入：指自治区财政部门当年拨付的资金。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五、使用非财政拨款结余：指事业单位在当年的“财政拨款收入”“事业收入”“经营收入”“其他收入”不足以安排当年支出的情况下，使用非财政拨款结余、专用结余弥补本年度收支缺口的资金。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hint="eastAsia" w:ascii="黑体" w:hAnsi="黑体" w:eastAsia="黑体" w:cs="仿宋_GB2312"/>
          <w:kern w:val="0"/>
          <w:sz w:val="32"/>
          <w:szCs w:val="32"/>
        </w:rPr>
      </w:pPr>
    </w:p>
    <w:sectPr>
      <w:headerReference r:id="rId3" w:type="default"/>
      <w:footerReference r:id="rId4" w:type="default"/>
      <w:pgSz w:w="11906" w:h="16838"/>
      <w:pgMar w:top="1701" w:right="1474" w:bottom="1247"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ns w:id="0" w:author="财务科" w:date="2023-08-28T08:55:48Z"/>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财务科">
    <w15:presenceInfo w15:providerId="WPS Office" w15:userId="609379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NjdiZDJlYmRiYjc4YzJlZDgxODZkZDY4YmNmOTMifQ=="/>
  </w:docVars>
  <w:rsids>
    <w:rsidRoot w:val="0044603A"/>
    <w:rsid w:val="00000C19"/>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4E59"/>
    <w:rsid w:val="00196A9B"/>
    <w:rsid w:val="001A0C25"/>
    <w:rsid w:val="001A1448"/>
    <w:rsid w:val="001A6FD4"/>
    <w:rsid w:val="001A7D11"/>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E110C"/>
    <w:rsid w:val="004E1290"/>
    <w:rsid w:val="004E7C99"/>
    <w:rsid w:val="004F1C3E"/>
    <w:rsid w:val="004F3226"/>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F2"/>
    <w:rsid w:val="00596282"/>
    <w:rsid w:val="00597357"/>
    <w:rsid w:val="00597F5E"/>
    <w:rsid w:val="005A0856"/>
    <w:rsid w:val="005A12C2"/>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4F8D"/>
    <w:rsid w:val="0061500F"/>
    <w:rsid w:val="0061640E"/>
    <w:rsid w:val="0062137B"/>
    <w:rsid w:val="0062163E"/>
    <w:rsid w:val="00624986"/>
    <w:rsid w:val="00625F0E"/>
    <w:rsid w:val="006270F9"/>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3A30"/>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272"/>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6AAF"/>
    <w:rsid w:val="00837A84"/>
    <w:rsid w:val="00837AA7"/>
    <w:rsid w:val="00841141"/>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472DC"/>
    <w:rsid w:val="00A50A8E"/>
    <w:rsid w:val="00A56BA7"/>
    <w:rsid w:val="00A577F6"/>
    <w:rsid w:val="00A57AD0"/>
    <w:rsid w:val="00A676AA"/>
    <w:rsid w:val="00A679E5"/>
    <w:rsid w:val="00A7165E"/>
    <w:rsid w:val="00A718FE"/>
    <w:rsid w:val="00A7250A"/>
    <w:rsid w:val="00A73BCC"/>
    <w:rsid w:val="00A760C8"/>
    <w:rsid w:val="00A772F6"/>
    <w:rsid w:val="00A80298"/>
    <w:rsid w:val="00A806B7"/>
    <w:rsid w:val="00A80F6A"/>
    <w:rsid w:val="00A82A65"/>
    <w:rsid w:val="00A8503E"/>
    <w:rsid w:val="00A850E0"/>
    <w:rsid w:val="00A86014"/>
    <w:rsid w:val="00A910EE"/>
    <w:rsid w:val="00A94D03"/>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7A7"/>
    <w:rsid w:val="00B10EBE"/>
    <w:rsid w:val="00B11BB3"/>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785"/>
    <w:rsid w:val="00D02826"/>
    <w:rsid w:val="00D034DB"/>
    <w:rsid w:val="00D100A5"/>
    <w:rsid w:val="00D17AB6"/>
    <w:rsid w:val="00D200C6"/>
    <w:rsid w:val="00D20C37"/>
    <w:rsid w:val="00D23CD6"/>
    <w:rsid w:val="00D25BB2"/>
    <w:rsid w:val="00D32A39"/>
    <w:rsid w:val="00D3313C"/>
    <w:rsid w:val="00D33678"/>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594E"/>
    <w:rsid w:val="00DF5F8A"/>
    <w:rsid w:val="00DF6BA3"/>
    <w:rsid w:val="00DF7B1D"/>
    <w:rsid w:val="00E00756"/>
    <w:rsid w:val="00E04622"/>
    <w:rsid w:val="00E0553E"/>
    <w:rsid w:val="00E062DB"/>
    <w:rsid w:val="00E06486"/>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DDC"/>
    <w:rsid w:val="00F92E09"/>
    <w:rsid w:val="00FA0CC0"/>
    <w:rsid w:val="00FA3248"/>
    <w:rsid w:val="00FA35CA"/>
    <w:rsid w:val="00FB2E39"/>
    <w:rsid w:val="00FB4013"/>
    <w:rsid w:val="00FB43FD"/>
    <w:rsid w:val="00FC2319"/>
    <w:rsid w:val="00FC4DCD"/>
    <w:rsid w:val="00FC530C"/>
    <w:rsid w:val="00FD3110"/>
    <w:rsid w:val="00FD4814"/>
    <w:rsid w:val="00FE02B0"/>
    <w:rsid w:val="00FE1350"/>
    <w:rsid w:val="00FE20C9"/>
    <w:rsid w:val="00FE435A"/>
    <w:rsid w:val="00FE46A9"/>
    <w:rsid w:val="00FE53B2"/>
    <w:rsid w:val="00FE59C3"/>
    <w:rsid w:val="00FE697B"/>
    <w:rsid w:val="00FE73A4"/>
    <w:rsid w:val="00FF073E"/>
    <w:rsid w:val="00FF202F"/>
    <w:rsid w:val="00FF413A"/>
    <w:rsid w:val="01352826"/>
    <w:rsid w:val="013E2686"/>
    <w:rsid w:val="01B110AA"/>
    <w:rsid w:val="02923691"/>
    <w:rsid w:val="02971F57"/>
    <w:rsid w:val="02E84657"/>
    <w:rsid w:val="033D1110"/>
    <w:rsid w:val="0394658D"/>
    <w:rsid w:val="03965B7F"/>
    <w:rsid w:val="03DD6186"/>
    <w:rsid w:val="0512449A"/>
    <w:rsid w:val="056C6757"/>
    <w:rsid w:val="06952D48"/>
    <w:rsid w:val="07080C47"/>
    <w:rsid w:val="075946FD"/>
    <w:rsid w:val="08184759"/>
    <w:rsid w:val="08411F41"/>
    <w:rsid w:val="08A853EA"/>
    <w:rsid w:val="0940081A"/>
    <w:rsid w:val="0A0A0B61"/>
    <w:rsid w:val="0A7F4827"/>
    <w:rsid w:val="0BD75C77"/>
    <w:rsid w:val="0CCE1CB1"/>
    <w:rsid w:val="0CF249A9"/>
    <w:rsid w:val="0E8B113B"/>
    <w:rsid w:val="0EB22655"/>
    <w:rsid w:val="0F696B20"/>
    <w:rsid w:val="0F8305CF"/>
    <w:rsid w:val="101E0F8B"/>
    <w:rsid w:val="10CD33C6"/>
    <w:rsid w:val="1221364D"/>
    <w:rsid w:val="12BC78AF"/>
    <w:rsid w:val="13285047"/>
    <w:rsid w:val="13DB56CD"/>
    <w:rsid w:val="14212E69"/>
    <w:rsid w:val="155362A8"/>
    <w:rsid w:val="158868CF"/>
    <w:rsid w:val="16BF55F7"/>
    <w:rsid w:val="17AE7FFF"/>
    <w:rsid w:val="17EA0581"/>
    <w:rsid w:val="18DB7D7B"/>
    <w:rsid w:val="18FD6B9B"/>
    <w:rsid w:val="198553D7"/>
    <w:rsid w:val="19AE5056"/>
    <w:rsid w:val="19BD25AF"/>
    <w:rsid w:val="1A644AB4"/>
    <w:rsid w:val="1A71064D"/>
    <w:rsid w:val="1BF92CED"/>
    <w:rsid w:val="1CF2284B"/>
    <w:rsid w:val="1E90231B"/>
    <w:rsid w:val="1E9A76D7"/>
    <w:rsid w:val="1F9C9F9E"/>
    <w:rsid w:val="1FE27C27"/>
    <w:rsid w:val="20E67E3D"/>
    <w:rsid w:val="213166B4"/>
    <w:rsid w:val="214C2255"/>
    <w:rsid w:val="220B5E86"/>
    <w:rsid w:val="22E62995"/>
    <w:rsid w:val="24DC4BA3"/>
    <w:rsid w:val="25123F61"/>
    <w:rsid w:val="253F4153"/>
    <w:rsid w:val="257F4913"/>
    <w:rsid w:val="268C3FC1"/>
    <w:rsid w:val="26DE174A"/>
    <w:rsid w:val="27800A53"/>
    <w:rsid w:val="280362E1"/>
    <w:rsid w:val="28164309"/>
    <w:rsid w:val="283F35C4"/>
    <w:rsid w:val="28C055AB"/>
    <w:rsid w:val="296254AC"/>
    <w:rsid w:val="2BFB704C"/>
    <w:rsid w:val="2C2F78A3"/>
    <w:rsid w:val="2CB32296"/>
    <w:rsid w:val="2E85181C"/>
    <w:rsid w:val="2EAE6602"/>
    <w:rsid w:val="2F1F230A"/>
    <w:rsid w:val="30405E8C"/>
    <w:rsid w:val="30C72EAE"/>
    <w:rsid w:val="311F5D38"/>
    <w:rsid w:val="319103EB"/>
    <w:rsid w:val="31D964FD"/>
    <w:rsid w:val="322F6288"/>
    <w:rsid w:val="323106E8"/>
    <w:rsid w:val="32933C8B"/>
    <w:rsid w:val="331726D7"/>
    <w:rsid w:val="3342718C"/>
    <w:rsid w:val="3364747B"/>
    <w:rsid w:val="33A30E0D"/>
    <w:rsid w:val="33B05AE2"/>
    <w:rsid w:val="34204CF4"/>
    <w:rsid w:val="34767465"/>
    <w:rsid w:val="34B611A7"/>
    <w:rsid w:val="352073D1"/>
    <w:rsid w:val="36342391"/>
    <w:rsid w:val="3653029E"/>
    <w:rsid w:val="36D40B54"/>
    <w:rsid w:val="37040D59"/>
    <w:rsid w:val="377D2FD4"/>
    <w:rsid w:val="37845E2B"/>
    <w:rsid w:val="37C132AA"/>
    <w:rsid w:val="37EFBB03"/>
    <w:rsid w:val="38516379"/>
    <w:rsid w:val="386066AD"/>
    <w:rsid w:val="38C60702"/>
    <w:rsid w:val="39265CDD"/>
    <w:rsid w:val="39B609B2"/>
    <w:rsid w:val="39D443E2"/>
    <w:rsid w:val="3A5C70FE"/>
    <w:rsid w:val="3B111C96"/>
    <w:rsid w:val="3BC5688D"/>
    <w:rsid w:val="3CA10BD8"/>
    <w:rsid w:val="3D637C35"/>
    <w:rsid w:val="3DA71A69"/>
    <w:rsid w:val="3E4F3F85"/>
    <w:rsid w:val="3F9B340A"/>
    <w:rsid w:val="3FC76E0A"/>
    <w:rsid w:val="4050518A"/>
    <w:rsid w:val="411243A4"/>
    <w:rsid w:val="4114603C"/>
    <w:rsid w:val="41EE760D"/>
    <w:rsid w:val="420863D6"/>
    <w:rsid w:val="43E251B6"/>
    <w:rsid w:val="43F65746"/>
    <w:rsid w:val="469C746C"/>
    <w:rsid w:val="46F838A8"/>
    <w:rsid w:val="4876188D"/>
    <w:rsid w:val="49971F00"/>
    <w:rsid w:val="4A2F063D"/>
    <w:rsid w:val="4A7A262F"/>
    <w:rsid w:val="4A7C6FFA"/>
    <w:rsid w:val="4AAC185A"/>
    <w:rsid w:val="4AB21CC0"/>
    <w:rsid w:val="4B0F7073"/>
    <w:rsid w:val="4BAF1783"/>
    <w:rsid w:val="4C5F53EA"/>
    <w:rsid w:val="4C602AB7"/>
    <w:rsid w:val="4E7740AE"/>
    <w:rsid w:val="4E8C1A9C"/>
    <w:rsid w:val="4EFB4F8D"/>
    <w:rsid w:val="500204AE"/>
    <w:rsid w:val="500C01B1"/>
    <w:rsid w:val="50F608A0"/>
    <w:rsid w:val="51734D94"/>
    <w:rsid w:val="52E55149"/>
    <w:rsid w:val="52EA60C2"/>
    <w:rsid w:val="52FC2992"/>
    <w:rsid w:val="53E53868"/>
    <w:rsid w:val="54164A93"/>
    <w:rsid w:val="54226079"/>
    <w:rsid w:val="55EA62B4"/>
    <w:rsid w:val="56CA56C3"/>
    <w:rsid w:val="577D4F4F"/>
    <w:rsid w:val="57DD69DE"/>
    <w:rsid w:val="583F08F6"/>
    <w:rsid w:val="583F5DD8"/>
    <w:rsid w:val="58D26971"/>
    <w:rsid w:val="59522625"/>
    <w:rsid w:val="596C4E2E"/>
    <w:rsid w:val="59B91A1F"/>
    <w:rsid w:val="59F0AD88"/>
    <w:rsid w:val="5BBE3F0F"/>
    <w:rsid w:val="5BDD24E4"/>
    <w:rsid w:val="5C2A4CB6"/>
    <w:rsid w:val="5D015E69"/>
    <w:rsid w:val="5D247BC3"/>
    <w:rsid w:val="5D6B43FB"/>
    <w:rsid w:val="5D9205FF"/>
    <w:rsid w:val="5DF179D9"/>
    <w:rsid w:val="5E1E66DC"/>
    <w:rsid w:val="5F271312"/>
    <w:rsid w:val="5FBE129E"/>
    <w:rsid w:val="5FCB7B2A"/>
    <w:rsid w:val="5FF1A997"/>
    <w:rsid w:val="5FFF1EF6"/>
    <w:rsid w:val="5FFF5719"/>
    <w:rsid w:val="600837D6"/>
    <w:rsid w:val="602A248D"/>
    <w:rsid w:val="60B22447"/>
    <w:rsid w:val="610F0287"/>
    <w:rsid w:val="613C7BA6"/>
    <w:rsid w:val="621E53EE"/>
    <w:rsid w:val="630006BE"/>
    <w:rsid w:val="640D2EB1"/>
    <w:rsid w:val="64A86918"/>
    <w:rsid w:val="64C9520C"/>
    <w:rsid w:val="654F0D86"/>
    <w:rsid w:val="65AC12A1"/>
    <w:rsid w:val="675C0378"/>
    <w:rsid w:val="678549B0"/>
    <w:rsid w:val="67B73F40"/>
    <w:rsid w:val="67CE39B5"/>
    <w:rsid w:val="69B313B8"/>
    <w:rsid w:val="69EF02B7"/>
    <w:rsid w:val="6ABEAD59"/>
    <w:rsid w:val="6B025F68"/>
    <w:rsid w:val="6B3037B2"/>
    <w:rsid w:val="6BC06917"/>
    <w:rsid w:val="6CC87637"/>
    <w:rsid w:val="6CD7713F"/>
    <w:rsid w:val="6E096DB4"/>
    <w:rsid w:val="6FA33AE6"/>
    <w:rsid w:val="70545E07"/>
    <w:rsid w:val="70A6184B"/>
    <w:rsid w:val="70E05E9D"/>
    <w:rsid w:val="70F5135B"/>
    <w:rsid w:val="710577F8"/>
    <w:rsid w:val="72023B0B"/>
    <w:rsid w:val="72E72222"/>
    <w:rsid w:val="735E7031"/>
    <w:rsid w:val="745126A4"/>
    <w:rsid w:val="75955F2A"/>
    <w:rsid w:val="75D67D85"/>
    <w:rsid w:val="76A90B4E"/>
    <w:rsid w:val="76DE0A1E"/>
    <w:rsid w:val="773109EF"/>
    <w:rsid w:val="777717B3"/>
    <w:rsid w:val="77821E8C"/>
    <w:rsid w:val="77B76D4E"/>
    <w:rsid w:val="77F71370"/>
    <w:rsid w:val="7914740F"/>
    <w:rsid w:val="7A6240C2"/>
    <w:rsid w:val="7AFD303B"/>
    <w:rsid w:val="7B1D0CD2"/>
    <w:rsid w:val="7B6F2545"/>
    <w:rsid w:val="7BAF350D"/>
    <w:rsid w:val="7CBF5D43"/>
    <w:rsid w:val="7D366D5F"/>
    <w:rsid w:val="7DF11799"/>
    <w:rsid w:val="7EC91B47"/>
    <w:rsid w:val="7F525799"/>
    <w:rsid w:val="8FEB5697"/>
    <w:rsid w:val="A3D4AE9A"/>
    <w:rsid w:val="A77F1C6A"/>
    <w:rsid w:val="B5BF8820"/>
    <w:rsid w:val="BF56FE8C"/>
    <w:rsid w:val="BFFFAC87"/>
    <w:rsid w:val="CDD6F552"/>
    <w:rsid w:val="CE7B310F"/>
    <w:rsid w:val="DAFF5ABD"/>
    <w:rsid w:val="DDDFBC85"/>
    <w:rsid w:val="DEF7FB5C"/>
    <w:rsid w:val="DF5C86C8"/>
    <w:rsid w:val="DFFFAD1D"/>
    <w:rsid w:val="EBFCAE59"/>
    <w:rsid w:val="ECEB8A85"/>
    <w:rsid w:val="EFE75D81"/>
    <w:rsid w:val="EFFB9B5B"/>
    <w:rsid w:val="FB6B97A0"/>
    <w:rsid w:val="FBF5C9C2"/>
    <w:rsid w:val="FDDBC0F6"/>
    <w:rsid w:val="FDF59213"/>
    <w:rsid w:val="FEBBFCEF"/>
    <w:rsid w:val="FEE75FEC"/>
    <w:rsid w:val="FFAB5FD1"/>
    <w:rsid w:val="FFBF9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ind w:firstLine="200" w:firstLineChars="200"/>
      <w:outlineLvl w:val="3"/>
    </w:pPr>
    <w:rPr>
      <w:rFonts w:ascii="Arial" w:hAnsi="Arial"/>
      <w:bCs/>
      <w:sz w:val="32"/>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页脚 Char"/>
    <w:link w:val="4"/>
    <w:qFormat/>
    <w:uiPriority w:val="99"/>
    <w:rPr>
      <w:rFonts w:eastAsia="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5758</Words>
  <Characters>6465</Characters>
  <Lines>42</Lines>
  <Paragraphs>11</Paragraphs>
  <TotalTime>11</TotalTime>
  <ScaleCrop>false</ScaleCrop>
  <LinksUpToDate>false</LinksUpToDate>
  <CharactersWithSpaces>6471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2018-07-25T07:54:00Z</dcterms:created>
  <dc:creator>莫先孔</dc:creator>
  <cp:lastModifiedBy>财务科</cp:lastModifiedBy>
  <cp:lastPrinted>2012-08-17T08:16:00Z</cp:lastPrinted>
  <dcterms:modified xsi:type="dcterms:W3CDTF">2023-09-08T04:41:23Z</dcterms:modified>
  <dc:title>附件：（部门决算公开格式）</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F7B2C0673590432AA314576FA2D2E703_12</vt:lpwstr>
  </property>
</Properties>
</file>